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25" w:type="dxa"/>
        <w:jc w:val="center"/>
        <w:tblInd w:w="93" w:type="dxa"/>
        <w:tblLook w:val="04A0" w:firstRow="1" w:lastRow="0" w:firstColumn="1" w:lastColumn="0" w:noHBand="0" w:noVBand="1"/>
      </w:tblPr>
      <w:tblGrid>
        <w:gridCol w:w="2535"/>
        <w:gridCol w:w="1530"/>
        <w:gridCol w:w="1440"/>
        <w:gridCol w:w="1572"/>
        <w:gridCol w:w="1316"/>
        <w:gridCol w:w="1676"/>
        <w:gridCol w:w="3883"/>
        <w:gridCol w:w="1273"/>
      </w:tblGrid>
      <w:tr w:rsidR="00375326" w14:paraId="33EF4BB7" w14:textId="77777777">
        <w:trPr>
          <w:trHeight w:val="420"/>
          <w:jc w:val="center"/>
        </w:trPr>
        <w:tc>
          <w:tcPr>
            <w:tcW w:w="15225" w:type="dxa"/>
            <w:gridSpan w:val="8"/>
            <w:tcBorders>
              <w:top w:val="nil"/>
              <w:left w:val="nil"/>
              <w:bottom w:val="nil"/>
              <w:right w:val="nil"/>
            </w:tcBorders>
            <w:shd w:val="clear" w:color="auto" w:fill="auto"/>
            <w:noWrap/>
            <w:hideMark/>
          </w:tcPr>
          <w:p w14:paraId="33EF4BB6" w14:textId="77777777" w:rsidR="00375326" w:rsidRDefault="003852B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PACIFIC GAS AND ELECTRIC COMPANY</w:t>
            </w:r>
          </w:p>
        </w:tc>
      </w:tr>
      <w:tr w:rsidR="00375326" w14:paraId="33EF4BB9" w14:textId="77777777">
        <w:trPr>
          <w:trHeight w:val="435"/>
          <w:jc w:val="center"/>
        </w:trPr>
        <w:tc>
          <w:tcPr>
            <w:tcW w:w="15225" w:type="dxa"/>
            <w:gridSpan w:val="8"/>
            <w:tcBorders>
              <w:top w:val="nil"/>
              <w:left w:val="nil"/>
              <w:bottom w:val="nil"/>
              <w:right w:val="nil"/>
            </w:tcBorders>
            <w:shd w:val="clear" w:color="auto" w:fill="auto"/>
            <w:hideMark/>
          </w:tcPr>
          <w:p w14:paraId="33EF4BB8" w14:textId="77777777" w:rsidR="00375326" w:rsidRDefault="003852B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2012 Preliminary Annual 33% RPS Compliance Report</w:t>
            </w:r>
          </w:p>
        </w:tc>
      </w:tr>
      <w:tr w:rsidR="00375326" w14:paraId="33EF4BBB" w14:textId="77777777">
        <w:trPr>
          <w:trHeight w:val="390"/>
          <w:jc w:val="center"/>
        </w:trPr>
        <w:tc>
          <w:tcPr>
            <w:tcW w:w="15225" w:type="dxa"/>
            <w:gridSpan w:val="8"/>
            <w:tcBorders>
              <w:top w:val="nil"/>
              <w:left w:val="nil"/>
              <w:bottom w:val="nil"/>
              <w:right w:val="nil"/>
            </w:tcBorders>
            <w:shd w:val="clear" w:color="auto" w:fill="auto"/>
            <w:noWrap/>
            <w:hideMark/>
          </w:tcPr>
          <w:p w14:paraId="33EF4BBA" w14:textId="77777777" w:rsidR="00375326" w:rsidRDefault="003852B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IDENTIFICATION OF CONFIDENTIAL INFORMATION  PER DECISION 06-06-066, D.08-04-023 and General Order 66-C</w:t>
            </w:r>
          </w:p>
        </w:tc>
      </w:tr>
      <w:tr w:rsidR="00375326" w14:paraId="33EF4BBD" w14:textId="77777777">
        <w:trPr>
          <w:trHeight w:val="390"/>
          <w:jc w:val="center"/>
        </w:trPr>
        <w:tc>
          <w:tcPr>
            <w:tcW w:w="15225" w:type="dxa"/>
            <w:gridSpan w:val="8"/>
            <w:tcBorders>
              <w:top w:val="nil"/>
              <w:left w:val="nil"/>
              <w:bottom w:val="nil"/>
              <w:right w:val="nil"/>
            </w:tcBorders>
            <w:shd w:val="clear" w:color="auto" w:fill="auto"/>
            <w:hideMark/>
          </w:tcPr>
          <w:p w14:paraId="33EF4BBC" w14:textId="77777777" w:rsidR="00375326" w:rsidRDefault="003852B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Date: August 1, 2013</w:t>
            </w:r>
          </w:p>
        </w:tc>
      </w:tr>
      <w:tr w:rsidR="00375326" w14:paraId="33EF4BC6" w14:textId="77777777">
        <w:trPr>
          <w:trHeight w:val="270"/>
          <w:jc w:val="center"/>
        </w:trPr>
        <w:tc>
          <w:tcPr>
            <w:tcW w:w="2535" w:type="dxa"/>
            <w:tcBorders>
              <w:top w:val="nil"/>
              <w:left w:val="nil"/>
              <w:bottom w:val="nil"/>
              <w:right w:val="nil"/>
            </w:tcBorders>
            <w:shd w:val="clear" w:color="auto" w:fill="auto"/>
            <w:hideMark/>
          </w:tcPr>
          <w:p w14:paraId="33EF4BBE" w14:textId="77777777" w:rsidR="00375326" w:rsidRDefault="00375326">
            <w:pPr>
              <w:spacing w:after="0" w:line="240" w:lineRule="auto"/>
              <w:jc w:val="center"/>
              <w:rPr>
                <w:rFonts w:ascii="Arial" w:eastAsia="Times New Roman" w:hAnsi="Arial" w:cs="Arial"/>
                <w:b/>
                <w:bCs/>
                <w:sz w:val="20"/>
                <w:szCs w:val="20"/>
              </w:rPr>
            </w:pPr>
          </w:p>
        </w:tc>
        <w:tc>
          <w:tcPr>
            <w:tcW w:w="1530" w:type="dxa"/>
            <w:tcBorders>
              <w:top w:val="nil"/>
              <w:left w:val="nil"/>
              <w:bottom w:val="nil"/>
              <w:right w:val="nil"/>
            </w:tcBorders>
            <w:shd w:val="clear" w:color="auto" w:fill="auto"/>
            <w:hideMark/>
          </w:tcPr>
          <w:p w14:paraId="33EF4BBF" w14:textId="77777777" w:rsidR="00375326" w:rsidRDefault="00375326">
            <w:pPr>
              <w:spacing w:after="0" w:line="240" w:lineRule="auto"/>
              <w:jc w:val="center"/>
              <w:rPr>
                <w:rFonts w:ascii="Arial" w:eastAsia="Times New Roman" w:hAnsi="Arial" w:cs="Arial"/>
                <w:b/>
                <w:bCs/>
                <w:sz w:val="20"/>
                <w:szCs w:val="20"/>
              </w:rPr>
            </w:pPr>
          </w:p>
        </w:tc>
        <w:tc>
          <w:tcPr>
            <w:tcW w:w="1440" w:type="dxa"/>
            <w:tcBorders>
              <w:top w:val="nil"/>
              <w:left w:val="nil"/>
              <w:bottom w:val="nil"/>
              <w:right w:val="nil"/>
            </w:tcBorders>
            <w:shd w:val="clear" w:color="auto" w:fill="auto"/>
            <w:hideMark/>
          </w:tcPr>
          <w:p w14:paraId="33EF4BC0" w14:textId="77777777" w:rsidR="00375326" w:rsidRDefault="00375326">
            <w:pPr>
              <w:spacing w:after="0" w:line="240" w:lineRule="auto"/>
              <w:jc w:val="center"/>
              <w:rPr>
                <w:rFonts w:ascii="Arial" w:eastAsia="Times New Roman" w:hAnsi="Arial" w:cs="Arial"/>
                <w:b/>
                <w:bCs/>
                <w:sz w:val="20"/>
                <w:szCs w:val="20"/>
              </w:rPr>
            </w:pPr>
          </w:p>
        </w:tc>
        <w:tc>
          <w:tcPr>
            <w:tcW w:w="1572" w:type="dxa"/>
            <w:tcBorders>
              <w:top w:val="nil"/>
              <w:left w:val="nil"/>
              <w:bottom w:val="nil"/>
              <w:right w:val="nil"/>
            </w:tcBorders>
            <w:shd w:val="clear" w:color="auto" w:fill="auto"/>
            <w:hideMark/>
          </w:tcPr>
          <w:p w14:paraId="33EF4BC1" w14:textId="77777777" w:rsidR="00375326" w:rsidRDefault="00375326">
            <w:pPr>
              <w:spacing w:after="0" w:line="240" w:lineRule="auto"/>
              <w:jc w:val="center"/>
              <w:rPr>
                <w:rFonts w:ascii="Arial" w:eastAsia="Times New Roman" w:hAnsi="Arial" w:cs="Arial"/>
                <w:b/>
                <w:bCs/>
                <w:sz w:val="20"/>
                <w:szCs w:val="20"/>
              </w:rPr>
            </w:pPr>
          </w:p>
        </w:tc>
        <w:tc>
          <w:tcPr>
            <w:tcW w:w="1316" w:type="dxa"/>
            <w:tcBorders>
              <w:top w:val="nil"/>
              <w:left w:val="nil"/>
              <w:bottom w:val="nil"/>
              <w:right w:val="nil"/>
            </w:tcBorders>
            <w:shd w:val="clear" w:color="auto" w:fill="auto"/>
            <w:hideMark/>
          </w:tcPr>
          <w:p w14:paraId="33EF4BC2" w14:textId="77777777" w:rsidR="00375326" w:rsidRDefault="00375326">
            <w:pPr>
              <w:spacing w:after="0" w:line="240" w:lineRule="auto"/>
              <w:jc w:val="center"/>
              <w:rPr>
                <w:rFonts w:ascii="Arial" w:eastAsia="Times New Roman" w:hAnsi="Arial" w:cs="Arial"/>
                <w:b/>
                <w:bCs/>
                <w:sz w:val="20"/>
                <w:szCs w:val="20"/>
              </w:rPr>
            </w:pPr>
          </w:p>
        </w:tc>
        <w:tc>
          <w:tcPr>
            <w:tcW w:w="1676" w:type="dxa"/>
            <w:tcBorders>
              <w:top w:val="nil"/>
              <w:left w:val="nil"/>
              <w:bottom w:val="nil"/>
              <w:right w:val="nil"/>
            </w:tcBorders>
            <w:shd w:val="clear" w:color="auto" w:fill="auto"/>
            <w:hideMark/>
          </w:tcPr>
          <w:p w14:paraId="33EF4BC3" w14:textId="77777777" w:rsidR="00375326" w:rsidRDefault="00375326">
            <w:pPr>
              <w:spacing w:after="0" w:line="240" w:lineRule="auto"/>
              <w:jc w:val="center"/>
              <w:rPr>
                <w:rFonts w:ascii="Arial" w:eastAsia="Times New Roman" w:hAnsi="Arial" w:cs="Arial"/>
                <w:b/>
                <w:bCs/>
                <w:sz w:val="20"/>
                <w:szCs w:val="20"/>
              </w:rPr>
            </w:pPr>
          </w:p>
        </w:tc>
        <w:tc>
          <w:tcPr>
            <w:tcW w:w="3883" w:type="dxa"/>
            <w:tcBorders>
              <w:top w:val="nil"/>
              <w:left w:val="nil"/>
              <w:bottom w:val="nil"/>
              <w:right w:val="nil"/>
            </w:tcBorders>
            <w:shd w:val="clear" w:color="auto" w:fill="auto"/>
            <w:hideMark/>
          </w:tcPr>
          <w:p w14:paraId="33EF4BC4" w14:textId="77777777" w:rsidR="00375326" w:rsidRDefault="00375326">
            <w:pPr>
              <w:spacing w:after="0" w:line="240" w:lineRule="auto"/>
              <w:jc w:val="center"/>
              <w:rPr>
                <w:rFonts w:ascii="Arial" w:eastAsia="Times New Roman" w:hAnsi="Arial" w:cs="Arial"/>
                <w:b/>
                <w:bCs/>
                <w:sz w:val="20"/>
                <w:szCs w:val="20"/>
              </w:rPr>
            </w:pPr>
          </w:p>
        </w:tc>
        <w:tc>
          <w:tcPr>
            <w:tcW w:w="1273" w:type="dxa"/>
            <w:tcBorders>
              <w:top w:val="nil"/>
              <w:left w:val="nil"/>
              <w:bottom w:val="nil"/>
              <w:right w:val="nil"/>
            </w:tcBorders>
            <w:shd w:val="clear" w:color="auto" w:fill="auto"/>
            <w:noWrap/>
            <w:hideMark/>
          </w:tcPr>
          <w:p w14:paraId="33EF4BC5" w14:textId="77777777" w:rsidR="00375326" w:rsidRDefault="00375326">
            <w:pPr>
              <w:spacing w:after="0" w:line="240" w:lineRule="auto"/>
              <w:jc w:val="center"/>
              <w:rPr>
                <w:rFonts w:ascii="Arial" w:eastAsia="Times New Roman" w:hAnsi="Arial" w:cs="Arial"/>
                <w:b/>
                <w:bCs/>
                <w:sz w:val="20"/>
                <w:szCs w:val="20"/>
              </w:rPr>
            </w:pPr>
          </w:p>
        </w:tc>
      </w:tr>
      <w:tr w:rsidR="00375326" w14:paraId="33EF4BCF" w14:textId="77777777">
        <w:trPr>
          <w:trHeight w:val="3180"/>
          <w:jc w:val="center"/>
        </w:trPr>
        <w:tc>
          <w:tcPr>
            <w:tcW w:w="2535"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3EF4BC7"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Redaction Reference</w:t>
            </w:r>
          </w:p>
        </w:tc>
        <w:tc>
          <w:tcPr>
            <w:tcW w:w="1530" w:type="dxa"/>
            <w:tcBorders>
              <w:top w:val="single" w:sz="8" w:space="0" w:color="auto"/>
              <w:left w:val="nil"/>
              <w:bottom w:val="single" w:sz="4" w:space="0" w:color="auto"/>
              <w:right w:val="single" w:sz="4" w:space="0" w:color="auto"/>
            </w:tcBorders>
            <w:shd w:val="clear" w:color="auto" w:fill="auto"/>
            <w:vAlign w:val="bottom"/>
            <w:hideMark/>
          </w:tcPr>
          <w:p w14:paraId="33EF4BC8"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(1) </w:t>
            </w:r>
            <w:r>
              <w:rPr>
                <w:rFonts w:ascii="Arial" w:eastAsia="Times New Roman" w:hAnsi="Arial" w:cs="Arial"/>
                <w:b/>
                <w:bCs/>
                <w:sz w:val="20"/>
                <w:szCs w:val="20"/>
              </w:rPr>
              <w:br/>
            </w:r>
            <w:r>
              <w:rPr>
                <w:rFonts w:ascii="Arial" w:eastAsia="Times New Roman" w:hAnsi="Arial" w:cs="Arial"/>
                <w:b/>
                <w:bCs/>
                <w:sz w:val="20"/>
                <w:szCs w:val="20"/>
              </w:rPr>
              <w:t xml:space="preserve">The material submitted constitutes a particular type of data listed in the Matrix, appended as Appendix 1 to D.06-06-066 and Appendix C to D.08-04-023 </w:t>
            </w:r>
            <w:r>
              <w:rPr>
                <w:rFonts w:ascii="Arial" w:eastAsia="Times New Roman" w:hAnsi="Arial" w:cs="Arial"/>
                <w:b/>
                <w:bCs/>
                <w:sz w:val="20"/>
                <w:szCs w:val="20"/>
              </w:rPr>
              <w:br/>
              <w:t xml:space="preserve"> </w:t>
            </w:r>
            <w:r>
              <w:rPr>
                <w:rFonts w:ascii="Arial" w:eastAsia="Times New Roman" w:hAnsi="Arial" w:cs="Arial"/>
                <w:b/>
                <w:bCs/>
                <w:sz w:val="20"/>
                <w:szCs w:val="20"/>
              </w:rPr>
              <w:br/>
              <w:t>(Y/N)</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14:paraId="33EF4BC9"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(2)</w:t>
            </w:r>
            <w:r>
              <w:rPr>
                <w:rFonts w:ascii="Arial" w:eastAsia="Times New Roman" w:hAnsi="Arial" w:cs="Arial"/>
                <w:b/>
                <w:bCs/>
                <w:sz w:val="20"/>
                <w:szCs w:val="20"/>
              </w:rPr>
              <w:br/>
              <w:t>To which category or categories in the Matrix do the data correspond?</w:t>
            </w:r>
          </w:p>
        </w:tc>
        <w:tc>
          <w:tcPr>
            <w:tcW w:w="1572" w:type="dxa"/>
            <w:tcBorders>
              <w:top w:val="single" w:sz="8" w:space="0" w:color="auto"/>
              <w:left w:val="nil"/>
              <w:bottom w:val="single" w:sz="4" w:space="0" w:color="auto"/>
              <w:right w:val="single" w:sz="4" w:space="0" w:color="auto"/>
            </w:tcBorders>
            <w:shd w:val="clear" w:color="auto" w:fill="auto"/>
            <w:vAlign w:val="bottom"/>
            <w:hideMark/>
          </w:tcPr>
          <w:p w14:paraId="33EF4BCA"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(3)</w:t>
            </w:r>
            <w:r>
              <w:rPr>
                <w:rFonts w:ascii="Arial" w:eastAsia="Times New Roman" w:hAnsi="Arial" w:cs="Arial"/>
                <w:b/>
                <w:bCs/>
                <w:sz w:val="20"/>
                <w:szCs w:val="20"/>
              </w:rPr>
              <w:br/>
              <w:t>That it is complyi</w:t>
            </w:r>
            <w:r>
              <w:rPr>
                <w:rFonts w:ascii="Arial" w:eastAsia="Times New Roman" w:hAnsi="Arial" w:cs="Arial"/>
                <w:b/>
                <w:bCs/>
                <w:sz w:val="20"/>
                <w:szCs w:val="20"/>
              </w:rPr>
              <w:t>ng with the limitations on confidentiality specified in the Matrix for that type of data</w:t>
            </w:r>
            <w:r>
              <w:rPr>
                <w:rFonts w:ascii="Arial" w:eastAsia="Times New Roman" w:hAnsi="Arial" w:cs="Arial"/>
                <w:b/>
                <w:bCs/>
                <w:sz w:val="20"/>
                <w:szCs w:val="20"/>
              </w:rPr>
              <w:br/>
            </w:r>
            <w:r>
              <w:rPr>
                <w:rFonts w:ascii="Arial" w:eastAsia="Times New Roman" w:hAnsi="Arial" w:cs="Arial"/>
                <w:b/>
                <w:bCs/>
                <w:sz w:val="20"/>
                <w:szCs w:val="20"/>
              </w:rPr>
              <w:br/>
              <w:t xml:space="preserve"> (Y/N)</w:t>
            </w:r>
          </w:p>
        </w:tc>
        <w:tc>
          <w:tcPr>
            <w:tcW w:w="1316" w:type="dxa"/>
            <w:tcBorders>
              <w:top w:val="single" w:sz="8" w:space="0" w:color="auto"/>
              <w:left w:val="nil"/>
              <w:bottom w:val="single" w:sz="4" w:space="0" w:color="auto"/>
              <w:right w:val="single" w:sz="4" w:space="0" w:color="auto"/>
            </w:tcBorders>
            <w:shd w:val="clear" w:color="auto" w:fill="auto"/>
            <w:vAlign w:val="bottom"/>
            <w:hideMark/>
          </w:tcPr>
          <w:p w14:paraId="33EF4BCB"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(4)</w:t>
            </w:r>
            <w:r>
              <w:rPr>
                <w:rFonts w:ascii="Arial" w:eastAsia="Times New Roman" w:hAnsi="Arial" w:cs="Arial"/>
                <w:b/>
                <w:bCs/>
                <w:sz w:val="20"/>
                <w:szCs w:val="20"/>
              </w:rPr>
              <w:br/>
              <w:t xml:space="preserve">That the information is not already public </w:t>
            </w:r>
            <w:r>
              <w:rPr>
                <w:rFonts w:ascii="Arial" w:eastAsia="Times New Roman" w:hAnsi="Arial" w:cs="Arial"/>
                <w:b/>
                <w:bCs/>
                <w:sz w:val="20"/>
                <w:szCs w:val="20"/>
              </w:rPr>
              <w:br/>
            </w:r>
            <w:r>
              <w:rPr>
                <w:rFonts w:ascii="Arial" w:eastAsia="Times New Roman" w:hAnsi="Arial" w:cs="Arial"/>
                <w:b/>
                <w:bCs/>
                <w:sz w:val="20"/>
                <w:szCs w:val="20"/>
              </w:rPr>
              <w:br/>
              <w:t>(Y/N)</w:t>
            </w:r>
          </w:p>
        </w:tc>
        <w:tc>
          <w:tcPr>
            <w:tcW w:w="1676" w:type="dxa"/>
            <w:tcBorders>
              <w:top w:val="single" w:sz="8" w:space="0" w:color="auto"/>
              <w:left w:val="nil"/>
              <w:bottom w:val="single" w:sz="4" w:space="0" w:color="auto"/>
              <w:right w:val="single" w:sz="4" w:space="0" w:color="auto"/>
            </w:tcBorders>
            <w:shd w:val="clear" w:color="auto" w:fill="auto"/>
            <w:vAlign w:val="bottom"/>
            <w:hideMark/>
          </w:tcPr>
          <w:p w14:paraId="33EF4BCC"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(5)</w:t>
            </w:r>
            <w:r>
              <w:rPr>
                <w:rFonts w:ascii="Arial" w:eastAsia="Times New Roman" w:hAnsi="Arial" w:cs="Arial"/>
                <w:b/>
                <w:bCs/>
                <w:sz w:val="20"/>
                <w:szCs w:val="20"/>
              </w:rPr>
              <w:br/>
              <w:t>The data cannot be aggregated, redacted, summarized, masked or otherwise protected in a way that all</w:t>
            </w:r>
            <w:r>
              <w:rPr>
                <w:rFonts w:ascii="Arial" w:eastAsia="Times New Roman" w:hAnsi="Arial" w:cs="Arial"/>
                <w:b/>
                <w:bCs/>
                <w:sz w:val="20"/>
                <w:szCs w:val="20"/>
              </w:rPr>
              <w:t xml:space="preserve">ows partial disclosure </w:t>
            </w:r>
            <w:r>
              <w:rPr>
                <w:rFonts w:ascii="Arial" w:eastAsia="Times New Roman" w:hAnsi="Arial" w:cs="Arial"/>
                <w:b/>
                <w:bCs/>
                <w:sz w:val="20"/>
                <w:szCs w:val="20"/>
              </w:rPr>
              <w:br/>
            </w:r>
            <w:r>
              <w:rPr>
                <w:rFonts w:ascii="Arial" w:eastAsia="Times New Roman" w:hAnsi="Arial" w:cs="Arial"/>
                <w:b/>
                <w:bCs/>
                <w:sz w:val="20"/>
                <w:szCs w:val="20"/>
              </w:rPr>
              <w:br/>
              <w:t>(Y/N)</w:t>
            </w:r>
          </w:p>
        </w:tc>
        <w:tc>
          <w:tcPr>
            <w:tcW w:w="3883" w:type="dxa"/>
            <w:tcBorders>
              <w:top w:val="single" w:sz="8" w:space="0" w:color="auto"/>
              <w:left w:val="nil"/>
              <w:bottom w:val="single" w:sz="4" w:space="0" w:color="auto"/>
              <w:right w:val="single" w:sz="4" w:space="0" w:color="auto"/>
            </w:tcBorders>
            <w:shd w:val="clear" w:color="auto" w:fill="auto"/>
            <w:vAlign w:val="bottom"/>
            <w:hideMark/>
          </w:tcPr>
          <w:p w14:paraId="33EF4BCD"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PG&amp;E's Justification for Confidential Treatment</w:t>
            </w:r>
          </w:p>
        </w:tc>
        <w:tc>
          <w:tcPr>
            <w:tcW w:w="1273" w:type="dxa"/>
            <w:tcBorders>
              <w:top w:val="single" w:sz="8" w:space="0" w:color="auto"/>
              <w:left w:val="nil"/>
              <w:bottom w:val="single" w:sz="4" w:space="0" w:color="auto"/>
              <w:right w:val="single" w:sz="8" w:space="0" w:color="auto"/>
            </w:tcBorders>
            <w:shd w:val="clear" w:color="auto" w:fill="auto"/>
            <w:vAlign w:val="bottom"/>
            <w:hideMark/>
          </w:tcPr>
          <w:p w14:paraId="33EF4BCE" w14:textId="77777777" w:rsidR="00375326" w:rsidRDefault="003852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Length of Time</w:t>
            </w:r>
          </w:p>
        </w:tc>
      </w:tr>
      <w:tr w:rsidR="00375326" w14:paraId="33EF4BE5" w14:textId="77777777">
        <w:trPr>
          <w:trHeight w:val="1290"/>
          <w:jc w:val="center"/>
        </w:trPr>
        <w:tc>
          <w:tcPr>
            <w:tcW w:w="2535" w:type="dxa"/>
            <w:tcBorders>
              <w:top w:val="single" w:sz="8" w:space="0" w:color="auto"/>
              <w:left w:val="single" w:sz="8" w:space="0" w:color="auto"/>
              <w:bottom w:val="single" w:sz="8" w:space="0" w:color="auto"/>
              <w:right w:val="single" w:sz="4" w:space="0" w:color="auto"/>
            </w:tcBorders>
            <w:shd w:val="clear" w:color="auto" w:fill="auto"/>
          </w:tcPr>
          <w:p w14:paraId="33EF4BD0" w14:textId="77777777" w:rsidR="00375326" w:rsidRDefault="003852B1">
            <w:pPr>
              <w:spacing w:after="0" w:line="240" w:lineRule="auto"/>
              <w:rPr>
                <w:rFonts w:ascii="Arial" w:eastAsia="Times New Roman" w:hAnsi="Arial" w:cs="Arial"/>
                <w:b/>
                <w:sz w:val="20"/>
                <w:szCs w:val="20"/>
                <w:u w:val="single"/>
              </w:rPr>
            </w:pPr>
            <w:r>
              <w:rPr>
                <w:rFonts w:ascii="Arial" w:eastAsia="Times New Roman" w:hAnsi="Arial" w:cs="Arial"/>
                <w:b/>
                <w:sz w:val="20"/>
                <w:szCs w:val="20"/>
                <w:u w:val="single"/>
              </w:rPr>
              <w:t>Appendix A - PG&amp;E's 2012 Preliminary Annual 33% RPS Compliance Report</w:t>
            </w:r>
          </w:p>
          <w:p w14:paraId="33EF4BD1" w14:textId="77777777" w:rsidR="00375326" w:rsidRDefault="00375326">
            <w:pPr>
              <w:spacing w:after="0" w:line="240" w:lineRule="auto"/>
              <w:rPr>
                <w:rFonts w:ascii="Arial" w:eastAsia="Times New Roman" w:hAnsi="Arial" w:cs="Arial"/>
                <w:b/>
                <w:sz w:val="20"/>
                <w:szCs w:val="20"/>
                <w:u w:val="single"/>
              </w:rPr>
            </w:pPr>
          </w:p>
          <w:p w14:paraId="33EF4BD2" w14:textId="77777777" w:rsidR="00375326" w:rsidRDefault="003852B1">
            <w:pPr>
              <w:spacing w:after="0" w:line="240" w:lineRule="auto"/>
              <w:rPr>
                <w:rFonts w:ascii="Arial" w:eastAsia="Times New Roman" w:hAnsi="Arial" w:cs="Arial"/>
                <w:sz w:val="20"/>
                <w:szCs w:val="20"/>
                <w:u w:val="single"/>
              </w:rPr>
            </w:pPr>
            <w:r>
              <w:rPr>
                <w:rFonts w:ascii="Arial" w:eastAsia="Times New Roman" w:hAnsi="Arial" w:cs="Arial"/>
                <w:sz w:val="20"/>
                <w:szCs w:val="20"/>
                <w:u w:val="single"/>
              </w:rPr>
              <w:t>Compliance Period Summary Tab:</w:t>
            </w:r>
          </w:p>
          <w:p w14:paraId="33EF4BD3"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Rows 9 &amp; 10: Columns F, G</w:t>
            </w:r>
          </w:p>
          <w:p w14:paraId="33EF4BD4"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Rows 11 &amp; 12: Column H</w:t>
            </w:r>
          </w:p>
          <w:p w14:paraId="33EF4BD5" w14:textId="77777777" w:rsidR="00375326" w:rsidRDefault="00375326">
            <w:pPr>
              <w:spacing w:after="0" w:line="240" w:lineRule="auto"/>
              <w:rPr>
                <w:rFonts w:ascii="Arial" w:eastAsia="Times New Roman" w:hAnsi="Arial" w:cs="Arial"/>
                <w:sz w:val="20"/>
                <w:szCs w:val="20"/>
                <w:highlight w:val="yellow"/>
              </w:rPr>
            </w:pPr>
          </w:p>
          <w:p w14:paraId="33EF4BD6" w14:textId="77777777" w:rsidR="00375326" w:rsidRDefault="003852B1">
            <w:pPr>
              <w:spacing w:after="0" w:line="240" w:lineRule="auto"/>
              <w:rPr>
                <w:rFonts w:ascii="Arial" w:eastAsia="Times New Roman" w:hAnsi="Arial" w:cs="Arial"/>
                <w:sz w:val="20"/>
                <w:szCs w:val="20"/>
                <w:u w:val="single"/>
              </w:rPr>
            </w:pPr>
            <w:r>
              <w:rPr>
                <w:rFonts w:ascii="Arial" w:eastAsia="Times New Roman" w:hAnsi="Arial" w:cs="Arial"/>
                <w:sz w:val="20"/>
                <w:szCs w:val="20"/>
                <w:u w:val="single"/>
              </w:rPr>
              <w:t xml:space="preserve">33% RPS </w:t>
            </w:r>
            <w:r>
              <w:rPr>
                <w:rFonts w:ascii="Arial" w:eastAsia="Times New Roman" w:hAnsi="Arial" w:cs="Arial"/>
                <w:sz w:val="20"/>
                <w:szCs w:val="20"/>
                <w:u w:val="single"/>
              </w:rPr>
              <w:t>Progress Summary Tab:</w:t>
            </w:r>
          </w:p>
          <w:p w14:paraId="33EF4BD7"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Rows 10 &amp; 12: Years 2013-2016</w:t>
            </w:r>
          </w:p>
          <w:p w14:paraId="33EF4BD8" w14:textId="77777777" w:rsidR="00375326" w:rsidRDefault="003852B1">
            <w:pPr>
              <w:spacing w:after="0" w:line="240" w:lineRule="auto"/>
              <w:rPr>
                <w:rFonts w:ascii="Arial" w:eastAsia="Times New Roman" w:hAnsi="Arial" w:cs="Arial"/>
                <w:sz w:val="20"/>
                <w:szCs w:val="20"/>
                <w:highlight w:val="yellow"/>
              </w:rPr>
            </w:pPr>
            <w:r>
              <w:rPr>
                <w:rFonts w:ascii="Arial" w:eastAsia="Times New Roman" w:hAnsi="Arial" w:cs="Arial"/>
                <w:sz w:val="20"/>
                <w:szCs w:val="20"/>
              </w:rPr>
              <w:t>Row 13: Years 2011-2016</w:t>
            </w:r>
          </w:p>
          <w:p w14:paraId="33EF4BD9" w14:textId="77777777" w:rsidR="00375326" w:rsidRDefault="00375326">
            <w:pPr>
              <w:spacing w:after="0" w:line="240" w:lineRule="auto"/>
              <w:rPr>
                <w:rFonts w:ascii="Arial" w:eastAsia="Times New Roman" w:hAnsi="Arial" w:cs="Arial"/>
                <w:sz w:val="20"/>
                <w:szCs w:val="20"/>
                <w:highlight w:val="yellow"/>
              </w:rPr>
            </w:pPr>
          </w:p>
          <w:p w14:paraId="33EF4BDA"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u w:val="single"/>
              </w:rPr>
              <w:t>Accounting Tab</w:t>
            </w:r>
            <w:r>
              <w:rPr>
                <w:rFonts w:ascii="Arial" w:eastAsia="Times New Roman" w:hAnsi="Arial" w:cs="Arial"/>
                <w:sz w:val="20"/>
                <w:szCs w:val="20"/>
              </w:rPr>
              <w:t xml:space="preserve">: </w:t>
            </w:r>
            <w:r>
              <w:rPr>
                <w:rFonts w:ascii="Arial" w:eastAsia="Times New Roman" w:hAnsi="Arial" w:cs="Arial"/>
                <w:sz w:val="20"/>
                <w:szCs w:val="20"/>
              </w:rPr>
              <w:br/>
            </w:r>
            <w:r>
              <w:rPr>
                <w:rFonts w:ascii="Arial" w:eastAsia="Times New Roman" w:hAnsi="Arial" w:cs="Arial"/>
                <w:sz w:val="20"/>
                <w:szCs w:val="20"/>
              </w:rPr>
              <w:lastRenderedPageBreak/>
              <w:t>Rows 18 &amp; 21: Years 2013-2016</w:t>
            </w:r>
          </w:p>
          <w:p w14:paraId="33EF4BDB"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Row 26: Years 2011-2016</w:t>
            </w:r>
          </w:p>
          <w:p w14:paraId="33EF4BDC" w14:textId="77777777" w:rsidR="00375326" w:rsidRDefault="003852B1">
            <w:pPr>
              <w:spacing w:after="0" w:line="240" w:lineRule="auto"/>
              <w:rPr>
                <w:rFonts w:ascii="Arial" w:eastAsia="Times New Roman" w:hAnsi="Arial" w:cs="Arial"/>
                <w:sz w:val="20"/>
                <w:szCs w:val="20"/>
                <w:highlight w:val="yellow"/>
              </w:rPr>
            </w:pPr>
            <w:r>
              <w:rPr>
                <w:rFonts w:ascii="Arial" w:eastAsia="Times New Roman" w:hAnsi="Arial" w:cs="Arial"/>
                <w:sz w:val="20"/>
                <w:szCs w:val="20"/>
              </w:rPr>
              <w:t>Row 79: Years 2011-2013</w:t>
            </w:r>
          </w:p>
          <w:p w14:paraId="33EF4BDD" w14:textId="77777777" w:rsidR="00375326" w:rsidRDefault="00375326">
            <w:pPr>
              <w:spacing w:after="0" w:line="240" w:lineRule="auto"/>
              <w:rPr>
                <w:rFonts w:ascii="Arial" w:eastAsia="Times New Roman" w:hAnsi="Arial" w:cs="Arial"/>
                <w:sz w:val="20"/>
                <w:szCs w:val="20"/>
                <w:highlight w:val="yellow"/>
              </w:rPr>
            </w:pPr>
          </w:p>
        </w:tc>
        <w:tc>
          <w:tcPr>
            <w:tcW w:w="1530" w:type="dxa"/>
            <w:tcBorders>
              <w:top w:val="single" w:sz="8" w:space="0" w:color="auto"/>
              <w:left w:val="nil"/>
              <w:bottom w:val="single" w:sz="8" w:space="0" w:color="auto"/>
              <w:right w:val="single" w:sz="4" w:space="0" w:color="auto"/>
            </w:tcBorders>
            <w:shd w:val="clear" w:color="auto" w:fill="auto"/>
          </w:tcPr>
          <w:p w14:paraId="33EF4BDE"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Yes</w:t>
            </w:r>
          </w:p>
        </w:tc>
        <w:tc>
          <w:tcPr>
            <w:tcW w:w="1440" w:type="dxa"/>
            <w:tcBorders>
              <w:top w:val="single" w:sz="8" w:space="0" w:color="auto"/>
              <w:left w:val="nil"/>
              <w:bottom w:val="single" w:sz="8" w:space="0" w:color="auto"/>
              <w:right w:val="single" w:sz="4" w:space="0" w:color="auto"/>
            </w:tcBorders>
            <w:shd w:val="clear" w:color="auto" w:fill="auto"/>
          </w:tcPr>
          <w:p w14:paraId="33EF4BDF"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Item V-C: LSE Total Energy Forecast Bundled Customer (MWh)</w:t>
            </w:r>
          </w:p>
        </w:tc>
        <w:tc>
          <w:tcPr>
            <w:tcW w:w="1572" w:type="dxa"/>
            <w:tcBorders>
              <w:top w:val="single" w:sz="8" w:space="0" w:color="auto"/>
              <w:left w:val="nil"/>
              <w:bottom w:val="single" w:sz="8" w:space="0" w:color="auto"/>
              <w:right w:val="single" w:sz="4" w:space="0" w:color="auto"/>
            </w:tcBorders>
            <w:shd w:val="clear" w:color="auto" w:fill="auto"/>
          </w:tcPr>
          <w:p w14:paraId="33EF4BE0"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316" w:type="dxa"/>
            <w:tcBorders>
              <w:top w:val="single" w:sz="8" w:space="0" w:color="auto"/>
              <w:left w:val="nil"/>
              <w:bottom w:val="single" w:sz="8" w:space="0" w:color="auto"/>
              <w:right w:val="single" w:sz="4" w:space="0" w:color="auto"/>
            </w:tcBorders>
            <w:shd w:val="clear" w:color="auto" w:fill="auto"/>
          </w:tcPr>
          <w:p w14:paraId="33EF4BE1"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single" w:sz="8" w:space="0" w:color="auto"/>
              <w:left w:val="nil"/>
              <w:bottom w:val="single" w:sz="8" w:space="0" w:color="auto"/>
              <w:right w:val="single" w:sz="4" w:space="0" w:color="auto"/>
            </w:tcBorders>
            <w:shd w:val="clear" w:color="auto" w:fill="auto"/>
          </w:tcPr>
          <w:p w14:paraId="33EF4BE2"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3883" w:type="dxa"/>
            <w:tcBorders>
              <w:top w:val="single" w:sz="8" w:space="0" w:color="auto"/>
              <w:left w:val="nil"/>
              <w:bottom w:val="single" w:sz="8" w:space="0" w:color="auto"/>
              <w:right w:val="single" w:sz="4" w:space="0" w:color="auto"/>
            </w:tcBorders>
            <w:shd w:val="clear" w:color="auto" w:fill="auto"/>
          </w:tcPr>
          <w:p w14:paraId="33EF4BE3"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Front th</w:t>
            </w:r>
            <w:r>
              <w:rPr>
                <w:rFonts w:ascii="Arial" w:eastAsia="Times New Roman" w:hAnsi="Arial" w:cs="Arial"/>
                <w:sz w:val="20"/>
                <w:szCs w:val="20"/>
              </w:rPr>
              <w:t xml:space="preserve">ree years of PG&amp;E's internal and proprietary forecast of its bundled customer total energy requirements.  Linked cells whose values could reveal this confidential data are also redacted.  </w:t>
            </w:r>
          </w:p>
        </w:tc>
        <w:tc>
          <w:tcPr>
            <w:tcW w:w="1273" w:type="dxa"/>
            <w:tcBorders>
              <w:top w:val="single" w:sz="8" w:space="0" w:color="auto"/>
              <w:left w:val="nil"/>
              <w:bottom w:val="single" w:sz="8" w:space="0" w:color="auto"/>
              <w:right w:val="single" w:sz="8" w:space="0" w:color="auto"/>
            </w:tcBorders>
            <w:shd w:val="clear" w:color="auto" w:fill="auto"/>
          </w:tcPr>
          <w:p w14:paraId="33EF4BE4" w14:textId="77777777" w:rsidR="00375326" w:rsidRDefault="003852B1">
            <w:pPr>
              <w:spacing w:after="0" w:line="240" w:lineRule="auto"/>
              <w:jc w:val="center"/>
              <w:rPr>
                <w:rFonts w:ascii="Arial" w:eastAsia="Times New Roman" w:hAnsi="Arial" w:cs="Arial"/>
                <w:sz w:val="20"/>
                <w:szCs w:val="20"/>
                <w:highlight w:val="yellow"/>
              </w:rPr>
            </w:pPr>
            <w:r>
              <w:rPr>
                <w:rFonts w:ascii="Arial" w:eastAsia="Times New Roman" w:hAnsi="Arial" w:cs="Arial"/>
                <w:sz w:val="20"/>
                <w:szCs w:val="20"/>
              </w:rPr>
              <w:t>Front three years.</w:t>
            </w:r>
          </w:p>
        </w:tc>
      </w:tr>
      <w:tr w:rsidR="00375326" w14:paraId="33EF4BF6" w14:textId="77777777" w:rsidTr="003852B1">
        <w:trPr>
          <w:trHeight w:val="540"/>
          <w:jc w:val="center"/>
        </w:trPr>
        <w:tc>
          <w:tcPr>
            <w:tcW w:w="2535" w:type="dxa"/>
            <w:tcBorders>
              <w:top w:val="nil"/>
              <w:left w:val="single" w:sz="8" w:space="0" w:color="auto"/>
              <w:bottom w:val="single" w:sz="8" w:space="0" w:color="auto"/>
              <w:right w:val="single" w:sz="4" w:space="0" w:color="auto"/>
            </w:tcBorders>
            <w:shd w:val="clear" w:color="auto" w:fill="auto"/>
            <w:hideMark/>
          </w:tcPr>
          <w:p w14:paraId="33EF4BE6" w14:textId="77777777" w:rsidR="00375326" w:rsidRDefault="003852B1">
            <w:pPr>
              <w:spacing w:after="0" w:line="240" w:lineRule="auto"/>
              <w:rPr>
                <w:rFonts w:ascii="Arial" w:eastAsia="Times New Roman" w:hAnsi="Arial" w:cs="Arial"/>
                <w:b/>
                <w:sz w:val="20"/>
                <w:szCs w:val="20"/>
                <w:u w:val="single"/>
              </w:rPr>
            </w:pPr>
            <w:r>
              <w:rPr>
                <w:rFonts w:ascii="Arial" w:eastAsia="Times New Roman" w:hAnsi="Arial" w:cs="Arial"/>
                <w:b/>
                <w:sz w:val="20"/>
                <w:szCs w:val="20"/>
                <w:u w:val="single"/>
              </w:rPr>
              <w:lastRenderedPageBreak/>
              <w:t>Appendix A - PG&amp;E's 2012 Preliminary Annual 33%</w:t>
            </w:r>
            <w:r>
              <w:rPr>
                <w:rFonts w:ascii="Arial" w:eastAsia="Times New Roman" w:hAnsi="Arial" w:cs="Arial"/>
                <w:b/>
                <w:sz w:val="20"/>
                <w:szCs w:val="20"/>
                <w:u w:val="single"/>
              </w:rPr>
              <w:t xml:space="preserve"> RPS Compliance Report</w:t>
            </w:r>
          </w:p>
          <w:p w14:paraId="33EF4BE7" w14:textId="77777777" w:rsidR="00375326" w:rsidRDefault="00375326">
            <w:pPr>
              <w:spacing w:after="0" w:line="240" w:lineRule="auto"/>
              <w:rPr>
                <w:rFonts w:ascii="Arial" w:eastAsia="Times New Roman" w:hAnsi="Arial" w:cs="Arial"/>
                <w:sz w:val="20"/>
                <w:szCs w:val="20"/>
                <w:u w:val="single"/>
              </w:rPr>
            </w:pPr>
          </w:p>
          <w:p w14:paraId="33EF4BE8" w14:textId="77777777" w:rsidR="00375326" w:rsidRDefault="003852B1">
            <w:pPr>
              <w:spacing w:after="0" w:line="240" w:lineRule="auto"/>
              <w:rPr>
                <w:rFonts w:ascii="Arial" w:eastAsia="Times New Roman" w:hAnsi="Arial" w:cs="Arial"/>
                <w:sz w:val="20"/>
                <w:szCs w:val="20"/>
                <w:highlight w:val="yellow"/>
                <w:u w:val="single"/>
              </w:rPr>
            </w:pPr>
            <w:r>
              <w:rPr>
                <w:rFonts w:ascii="Arial" w:eastAsia="Times New Roman" w:hAnsi="Arial" w:cs="Arial"/>
                <w:sz w:val="20"/>
                <w:szCs w:val="20"/>
                <w:u w:val="single"/>
              </w:rPr>
              <w:t xml:space="preserve">Procurement Detail Tab: </w:t>
            </w:r>
            <w:r>
              <w:rPr>
                <w:rFonts w:ascii="Arial" w:eastAsia="Times New Roman" w:hAnsi="Arial" w:cs="Arial"/>
                <w:sz w:val="20"/>
                <w:szCs w:val="20"/>
                <w:highlight w:val="yellow"/>
                <w:u w:val="single"/>
              </w:rPr>
              <w:br/>
            </w:r>
            <w:r>
              <w:rPr>
                <w:rFonts w:ascii="Arial" w:eastAsia="Times New Roman" w:hAnsi="Arial" w:cs="Arial"/>
                <w:sz w:val="20"/>
                <w:szCs w:val="20"/>
              </w:rPr>
              <w:t>Facility Status Column Z (rows:264-267, 280, 284, 303, 307, 308, 311-313, 323, 325, 326, 328, 333, 334, 337, 340-359, 361-380, 383-388, 390, 398, 399, 408-424, 426-433, 439-456, 458, 460)</w:t>
            </w:r>
          </w:p>
        </w:tc>
        <w:tc>
          <w:tcPr>
            <w:tcW w:w="1530" w:type="dxa"/>
            <w:tcBorders>
              <w:top w:val="nil"/>
              <w:left w:val="nil"/>
              <w:bottom w:val="single" w:sz="8" w:space="0" w:color="auto"/>
              <w:right w:val="single" w:sz="4" w:space="0" w:color="auto"/>
            </w:tcBorders>
            <w:shd w:val="clear" w:color="auto" w:fill="auto"/>
            <w:hideMark/>
          </w:tcPr>
          <w:p w14:paraId="33EF4BE9"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No</w:t>
            </w:r>
          </w:p>
        </w:tc>
        <w:tc>
          <w:tcPr>
            <w:tcW w:w="1440" w:type="dxa"/>
            <w:tcBorders>
              <w:top w:val="nil"/>
              <w:left w:val="nil"/>
              <w:bottom w:val="single" w:sz="8" w:space="0" w:color="auto"/>
              <w:right w:val="single" w:sz="4" w:space="0" w:color="auto"/>
            </w:tcBorders>
            <w:shd w:val="clear" w:color="auto" w:fill="auto"/>
            <w:hideMark/>
          </w:tcPr>
          <w:p w14:paraId="33EF4BEA"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 xml:space="preserve">Item VII </w:t>
            </w:r>
            <w:r>
              <w:rPr>
                <w:rFonts w:ascii="Arial" w:eastAsia="Times New Roman" w:hAnsi="Arial" w:cs="Arial"/>
                <w:sz w:val="20"/>
                <w:szCs w:val="20"/>
              </w:rPr>
              <w:t>(un-numbered category following VII G) Score sheets, analyses, evaluations of proposed RPS projects.</w:t>
            </w:r>
          </w:p>
          <w:p w14:paraId="33EF4BEB" w14:textId="77777777" w:rsidR="00375326" w:rsidRDefault="00375326">
            <w:pPr>
              <w:spacing w:after="0" w:line="240" w:lineRule="auto"/>
              <w:rPr>
                <w:rFonts w:ascii="Arial" w:eastAsia="Times New Roman" w:hAnsi="Arial" w:cs="Arial"/>
                <w:sz w:val="20"/>
                <w:szCs w:val="20"/>
              </w:rPr>
            </w:pPr>
          </w:p>
          <w:p w14:paraId="33EF4BEC" w14:textId="372A0E49"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General Order 66-C.</w:t>
            </w:r>
          </w:p>
        </w:tc>
        <w:tc>
          <w:tcPr>
            <w:tcW w:w="1572" w:type="dxa"/>
            <w:tcBorders>
              <w:top w:val="nil"/>
              <w:left w:val="nil"/>
              <w:bottom w:val="single" w:sz="8" w:space="0" w:color="auto"/>
              <w:right w:val="single" w:sz="4" w:space="0" w:color="auto"/>
            </w:tcBorders>
            <w:shd w:val="clear" w:color="auto" w:fill="auto"/>
            <w:hideMark/>
          </w:tcPr>
          <w:p w14:paraId="33EF4BED"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N/A</w:t>
            </w:r>
          </w:p>
        </w:tc>
        <w:tc>
          <w:tcPr>
            <w:tcW w:w="1316" w:type="dxa"/>
            <w:tcBorders>
              <w:top w:val="nil"/>
              <w:left w:val="nil"/>
              <w:bottom w:val="single" w:sz="8" w:space="0" w:color="auto"/>
              <w:right w:val="single" w:sz="4" w:space="0" w:color="auto"/>
            </w:tcBorders>
            <w:shd w:val="clear" w:color="auto" w:fill="auto"/>
            <w:hideMark/>
          </w:tcPr>
          <w:p w14:paraId="33EF4BEE"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nil"/>
              <w:left w:val="nil"/>
              <w:bottom w:val="single" w:sz="8" w:space="0" w:color="auto"/>
              <w:right w:val="single" w:sz="4" w:space="0" w:color="auto"/>
            </w:tcBorders>
            <w:shd w:val="clear" w:color="auto" w:fill="auto"/>
            <w:hideMark/>
          </w:tcPr>
          <w:p w14:paraId="33EF4BEF"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3883" w:type="dxa"/>
            <w:tcBorders>
              <w:top w:val="nil"/>
              <w:left w:val="nil"/>
              <w:bottom w:val="single" w:sz="8" w:space="0" w:color="auto"/>
              <w:right w:val="single" w:sz="4" w:space="0" w:color="auto"/>
            </w:tcBorders>
            <w:shd w:val="clear" w:color="auto" w:fill="auto"/>
            <w:hideMark/>
          </w:tcPr>
          <w:p w14:paraId="33EF4BF0"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The information in</w:t>
            </w:r>
            <w:r>
              <w:rPr>
                <w:rFonts w:ascii="Arial" w:eastAsia="Times New Roman" w:hAnsi="Arial" w:cs="Arial"/>
                <w:sz w:val="20"/>
                <w:szCs w:val="20"/>
              </w:rPr>
              <w:t xml:space="preserve"> these cells constitutes PG&amp;E’s analysis and evaluation of the current development status of the RPS projects in its portfolio.  Furthermore, this data constitutes commercially sensitive and proprietary information that should be withheld from public discl</w:t>
            </w:r>
            <w:r>
              <w:rPr>
                <w:rFonts w:ascii="Arial" w:eastAsia="Times New Roman" w:hAnsi="Arial" w:cs="Arial"/>
                <w:sz w:val="20"/>
                <w:szCs w:val="20"/>
              </w:rPr>
              <w:t xml:space="preserve">osure under General Order 66-C paragraph 2.8.  There are several reasons why it is in the public interest to protect the confidentiality of this information. </w:t>
            </w:r>
          </w:p>
          <w:p w14:paraId="33EF4BF1" w14:textId="77777777" w:rsidR="00375326" w:rsidRDefault="00375326">
            <w:pPr>
              <w:spacing w:after="0" w:line="240" w:lineRule="auto"/>
              <w:rPr>
                <w:rFonts w:ascii="Arial" w:eastAsia="Times New Roman" w:hAnsi="Arial" w:cs="Arial"/>
                <w:sz w:val="20"/>
                <w:szCs w:val="20"/>
              </w:rPr>
            </w:pPr>
          </w:p>
          <w:p w14:paraId="33EF4BF2" w14:textId="443F185A"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First, disclosure of this information could discourage developers from frankly communicating pro</w:t>
            </w:r>
            <w:r>
              <w:rPr>
                <w:rFonts w:ascii="Arial" w:eastAsia="Times New Roman" w:hAnsi="Arial" w:cs="Arial"/>
                <w:sz w:val="20"/>
                <w:szCs w:val="20"/>
              </w:rPr>
              <w:t>ject status to PG&amp;E, and thus undermine PG&amp;E's ability to adequately monitor RPS development progress.  Second, PG&amp;E's counterparties oppose making this information public.  If this information is not protected, developers may not respond to PG&amp;E's solicit</w:t>
            </w:r>
            <w:r>
              <w:rPr>
                <w:rFonts w:ascii="Arial" w:eastAsia="Times New Roman" w:hAnsi="Arial" w:cs="Arial"/>
                <w:sz w:val="20"/>
                <w:szCs w:val="20"/>
              </w:rPr>
              <w:t xml:space="preserve">ation for bids, impairing PG&amp;E's ability to increase its procurement of renewable energy resources.  In addition, release of this information may result in developers increasing project costs in the future to compensate them for competitive harm resulting </w:t>
            </w:r>
            <w:r>
              <w:rPr>
                <w:rFonts w:ascii="Arial" w:eastAsia="Times New Roman" w:hAnsi="Arial" w:cs="Arial"/>
                <w:sz w:val="20"/>
                <w:szCs w:val="20"/>
              </w:rPr>
              <w:t>from disclosure.   It is also in the public interest to protect the confidentiality of this information to ensure a vibrant, viable competitive market for renewable energy supplies.  Disclosure of this information would provide valuable market sensitive in</w:t>
            </w:r>
            <w:r>
              <w:rPr>
                <w:rFonts w:ascii="Arial" w:eastAsia="Times New Roman" w:hAnsi="Arial" w:cs="Arial"/>
                <w:sz w:val="20"/>
                <w:szCs w:val="20"/>
              </w:rPr>
              <w:t xml:space="preserve">formation to competitors and could damage ongoing and future negotiations </w:t>
            </w:r>
            <w:r>
              <w:rPr>
                <w:rFonts w:ascii="Arial" w:eastAsia="Times New Roman" w:hAnsi="Arial" w:cs="Arial"/>
                <w:sz w:val="20"/>
                <w:szCs w:val="20"/>
              </w:rPr>
              <w:lastRenderedPageBreak/>
              <w:t xml:space="preserve">by providing information about other potential renewables projects.  </w:t>
            </w:r>
            <w:bookmarkStart w:id="0" w:name="_GoBack"/>
            <w:bookmarkEnd w:id="0"/>
          </w:p>
        </w:tc>
        <w:tc>
          <w:tcPr>
            <w:tcW w:w="1273" w:type="dxa"/>
            <w:tcBorders>
              <w:top w:val="nil"/>
              <w:left w:val="nil"/>
              <w:bottom w:val="single" w:sz="8" w:space="0" w:color="auto"/>
              <w:right w:val="single" w:sz="8" w:space="0" w:color="auto"/>
            </w:tcBorders>
            <w:shd w:val="clear" w:color="auto" w:fill="auto"/>
            <w:hideMark/>
          </w:tcPr>
          <w:p w14:paraId="33EF4BF3"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For VII (un-numbered category following VII G), remain confidential for three years from the 2/15/13 cut-off for this analysis.</w:t>
            </w:r>
          </w:p>
          <w:p w14:paraId="33EF4BF4" w14:textId="77777777" w:rsidR="00375326" w:rsidRDefault="00375326">
            <w:pPr>
              <w:spacing w:after="0" w:line="240" w:lineRule="auto"/>
              <w:jc w:val="center"/>
              <w:rPr>
                <w:rFonts w:ascii="Arial" w:eastAsia="Times New Roman" w:hAnsi="Arial" w:cs="Arial"/>
                <w:sz w:val="20"/>
                <w:szCs w:val="20"/>
              </w:rPr>
            </w:pPr>
          </w:p>
          <w:p w14:paraId="33EF4BF5" w14:textId="70E3367B"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Remain confidential until no longer protected pursuant to the provisions of G.O. 66-C.</w:t>
            </w:r>
          </w:p>
        </w:tc>
      </w:tr>
      <w:tr w:rsidR="00375326" w14:paraId="33EF4C01" w14:textId="77777777">
        <w:trPr>
          <w:trHeight w:val="5880"/>
          <w:jc w:val="center"/>
        </w:trPr>
        <w:tc>
          <w:tcPr>
            <w:tcW w:w="2535" w:type="dxa"/>
            <w:tcBorders>
              <w:top w:val="nil"/>
              <w:left w:val="single" w:sz="8" w:space="0" w:color="auto"/>
              <w:bottom w:val="single" w:sz="8" w:space="0" w:color="auto"/>
              <w:right w:val="single" w:sz="4" w:space="0" w:color="auto"/>
            </w:tcBorders>
            <w:shd w:val="clear" w:color="auto" w:fill="auto"/>
          </w:tcPr>
          <w:p w14:paraId="33EF4BF7" w14:textId="77777777" w:rsidR="00375326" w:rsidRDefault="003852B1">
            <w:pPr>
              <w:spacing w:after="0" w:line="240" w:lineRule="auto"/>
              <w:rPr>
                <w:rFonts w:ascii="Arial" w:eastAsia="Times New Roman" w:hAnsi="Arial" w:cs="Arial"/>
                <w:b/>
                <w:sz w:val="20"/>
                <w:szCs w:val="20"/>
                <w:u w:val="single"/>
              </w:rPr>
            </w:pPr>
            <w:r>
              <w:rPr>
                <w:rFonts w:ascii="Arial" w:eastAsia="Times New Roman" w:hAnsi="Arial" w:cs="Arial"/>
                <w:b/>
                <w:sz w:val="20"/>
                <w:szCs w:val="20"/>
                <w:u w:val="single"/>
              </w:rPr>
              <w:lastRenderedPageBreak/>
              <w:t>Appendix A - PG&amp;E's 2012 Preliminary Annual 33% RPS Compliance Report</w:t>
            </w:r>
          </w:p>
          <w:p w14:paraId="33EF4BF8" w14:textId="77777777" w:rsidR="00375326" w:rsidRDefault="00375326">
            <w:pPr>
              <w:spacing w:after="0" w:line="240" w:lineRule="auto"/>
              <w:rPr>
                <w:rFonts w:ascii="Arial" w:eastAsia="Times New Roman" w:hAnsi="Arial" w:cs="Arial"/>
                <w:b/>
                <w:sz w:val="20"/>
                <w:szCs w:val="20"/>
                <w:u w:val="single"/>
              </w:rPr>
            </w:pPr>
          </w:p>
          <w:p w14:paraId="33EF4BF9" w14:textId="77777777" w:rsidR="00375326" w:rsidRDefault="003852B1">
            <w:pPr>
              <w:spacing w:after="0" w:line="240" w:lineRule="auto"/>
              <w:rPr>
                <w:rFonts w:ascii="Arial" w:eastAsia="Times New Roman" w:hAnsi="Arial" w:cs="Arial"/>
                <w:sz w:val="20"/>
                <w:szCs w:val="20"/>
                <w:u w:val="single"/>
              </w:rPr>
            </w:pPr>
            <w:r>
              <w:rPr>
                <w:rFonts w:ascii="Arial" w:eastAsia="Times New Roman" w:hAnsi="Arial" w:cs="Arial"/>
                <w:sz w:val="20"/>
                <w:szCs w:val="20"/>
                <w:u w:val="single"/>
              </w:rPr>
              <w:t xml:space="preserve">(2011) 36 Month Retirement Tab: Column J “MWh REC Quantity Retired” </w:t>
            </w:r>
          </w:p>
        </w:tc>
        <w:tc>
          <w:tcPr>
            <w:tcW w:w="1530" w:type="dxa"/>
            <w:tcBorders>
              <w:top w:val="nil"/>
              <w:left w:val="nil"/>
              <w:bottom w:val="single" w:sz="8" w:space="0" w:color="auto"/>
              <w:right w:val="single" w:sz="4" w:space="0" w:color="auto"/>
            </w:tcBorders>
            <w:shd w:val="clear" w:color="auto" w:fill="auto"/>
          </w:tcPr>
          <w:p w14:paraId="33EF4BFA"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No</w:t>
            </w:r>
          </w:p>
        </w:tc>
        <w:tc>
          <w:tcPr>
            <w:tcW w:w="1440" w:type="dxa"/>
            <w:tcBorders>
              <w:top w:val="nil"/>
              <w:left w:val="nil"/>
              <w:bottom w:val="single" w:sz="8" w:space="0" w:color="auto"/>
              <w:right w:val="single" w:sz="4" w:space="0" w:color="auto"/>
            </w:tcBorders>
            <w:shd w:val="clear" w:color="auto" w:fill="auto"/>
          </w:tcPr>
          <w:p w14:paraId="33EF4BFB"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 xml:space="preserve">The Matrix does not address this category of </w:t>
            </w:r>
            <w:r>
              <w:rPr>
                <w:rFonts w:ascii="Arial" w:eastAsia="Times New Roman" w:hAnsi="Arial" w:cs="Arial"/>
                <w:sz w:val="20"/>
                <w:szCs w:val="20"/>
              </w:rPr>
              <w:t>information. Protected pursuant to General Order (GO) 66-C.</w:t>
            </w:r>
          </w:p>
        </w:tc>
        <w:tc>
          <w:tcPr>
            <w:tcW w:w="1572" w:type="dxa"/>
            <w:tcBorders>
              <w:top w:val="nil"/>
              <w:left w:val="nil"/>
              <w:bottom w:val="single" w:sz="8" w:space="0" w:color="auto"/>
              <w:right w:val="single" w:sz="4" w:space="0" w:color="auto"/>
            </w:tcBorders>
            <w:shd w:val="clear" w:color="auto" w:fill="auto"/>
          </w:tcPr>
          <w:p w14:paraId="33EF4BFC"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N/A</w:t>
            </w:r>
          </w:p>
        </w:tc>
        <w:tc>
          <w:tcPr>
            <w:tcW w:w="1316" w:type="dxa"/>
            <w:tcBorders>
              <w:top w:val="nil"/>
              <w:left w:val="nil"/>
              <w:bottom w:val="single" w:sz="8" w:space="0" w:color="auto"/>
              <w:right w:val="single" w:sz="4" w:space="0" w:color="auto"/>
            </w:tcBorders>
            <w:shd w:val="clear" w:color="auto" w:fill="auto"/>
          </w:tcPr>
          <w:p w14:paraId="33EF4BFD"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nil"/>
              <w:left w:val="nil"/>
              <w:bottom w:val="single" w:sz="8" w:space="0" w:color="auto"/>
              <w:right w:val="single" w:sz="4" w:space="0" w:color="auto"/>
            </w:tcBorders>
            <w:shd w:val="clear" w:color="auto" w:fill="auto"/>
          </w:tcPr>
          <w:p w14:paraId="33EF4BFE"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3883" w:type="dxa"/>
            <w:tcBorders>
              <w:top w:val="nil"/>
              <w:left w:val="nil"/>
              <w:bottom w:val="single" w:sz="8" w:space="0" w:color="auto"/>
              <w:right w:val="single" w:sz="4" w:space="0" w:color="auto"/>
            </w:tcBorders>
            <w:shd w:val="clear" w:color="auto" w:fill="auto"/>
          </w:tcPr>
          <w:p w14:paraId="33EF4BFF"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Information in this column shows the quantity of RECs by facility that PG&amp;E has retired for RPS compliance on a monthly basis.  While the aggregate annual volume of retired RECs from R</w:t>
            </w:r>
            <w:r>
              <w:rPr>
                <w:rFonts w:ascii="Arial" w:eastAsia="Times New Roman" w:hAnsi="Arial" w:cs="Arial"/>
                <w:sz w:val="20"/>
                <w:szCs w:val="20"/>
              </w:rPr>
              <w:t xml:space="preserve">PS-certified facilities is available publicly, including in the </w:t>
            </w:r>
            <w:r>
              <w:rPr>
                <w:rFonts w:ascii="Arial" w:eastAsia="Times New Roman" w:hAnsi="Arial" w:cs="Arial"/>
                <w:sz w:val="20"/>
                <w:szCs w:val="20"/>
              </w:rPr>
              <w:t xml:space="preserve">“RECs Retired to meet </w:t>
            </w:r>
            <w:r>
              <w:rPr>
                <w:rFonts w:ascii="Arial" w:eastAsia="Times New Roman" w:hAnsi="Arial" w:cs="Arial"/>
                <w:sz w:val="20"/>
                <w:szCs w:val="20"/>
              </w:rPr>
              <w:t>PQR</w:t>
            </w:r>
            <w:r>
              <w:rPr>
                <w:rFonts w:ascii="Arial" w:eastAsia="Times New Roman" w:hAnsi="Arial" w:cs="Arial"/>
                <w:sz w:val="20"/>
                <w:szCs w:val="20"/>
              </w:rPr>
              <w:t>”</w:t>
            </w:r>
            <w:r>
              <w:rPr>
                <w:rFonts w:ascii="Arial" w:eastAsia="Times New Roman" w:hAnsi="Arial" w:cs="Arial"/>
                <w:sz w:val="20"/>
                <w:szCs w:val="20"/>
              </w:rPr>
              <w:t xml:space="preserve"> Tab of this Report, PG&amp;E is unaware of any public source of the same data on a monthly basis.  The Commission’s General Order 66-C protects from disclosure “informat</w:t>
            </w:r>
            <w:r>
              <w:rPr>
                <w:rFonts w:ascii="Arial" w:eastAsia="Times New Roman" w:hAnsi="Arial" w:cs="Arial"/>
                <w:sz w:val="20"/>
                <w:szCs w:val="20"/>
              </w:rPr>
              <w:t>ion obtained in confidence from other than a business regulated by this Commission where the disclosure would be against the public interest.”  (Section 2.8).  The same order protects information “which, if revealed, would place the regulated company at an</w:t>
            </w:r>
            <w:r>
              <w:rPr>
                <w:rFonts w:ascii="Arial" w:eastAsia="Times New Roman" w:hAnsi="Arial" w:cs="Arial"/>
                <w:sz w:val="20"/>
                <w:szCs w:val="20"/>
              </w:rPr>
              <w:t xml:space="preserve"> unfair business disadvantage.”  (Section 2.2(b)).  Disclosure of this data is against the public interest because it may reveal proprietary business operation information and strategies that PG&amp;E believes its counterparties expect to remain confidential, </w:t>
            </w:r>
            <w:r>
              <w:rPr>
                <w:rFonts w:ascii="Arial" w:eastAsia="Times New Roman" w:hAnsi="Arial" w:cs="Arial"/>
                <w:sz w:val="20"/>
                <w:szCs w:val="20"/>
              </w:rPr>
              <w:t>and such disclosure may put PG&amp;E’s counterparties at a competitive disadvantage with their suppliers, vendors and contractors when they seek bids for goods and services to support their operations.  To the extent that PG&amp;E’s counterparties believe they may</w:t>
            </w:r>
            <w:r>
              <w:rPr>
                <w:rFonts w:ascii="Arial" w:eastAsia="Times New Roman" w:hAnsi="Arial" w:cs="Arial"/>
                <w:sz w:val="20"/>
                <w:szCs w:val="20"/>
              </w:rPr>
              <w:t xml:space="preserve"> be harmed by such disclosure, it will also put PG&amp;E at a competitive disadvantage since counterparties will be less willing to engage in transactions with PG&amp;E.</w:t>
            </w:r>
          </w:p>
        </w:tc>
        <w:tc>
          <w:tcPr>
            <w:tcW w:w="1273" w:type="dxa"/>
            <w:tcBorders>
              <w:top w:val="nil"/>
              <w:left w:val="nil"/>
              <w:bottom w:val="single" w:sz="8" w:space="0" w:color="auto"/>
              <w:right w:val="single" w:sz="8" w:space="0" w:color="auto"/>
            </w:tcBorders>
            <w:shd w:val="clear" w:color="auto" w:fill="auto"/>
          </w:tcPr>
          <w:p w14:paraId="33EF4C00"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Confidential until data no longer meets the standards in G.O. 66-C.</w:t>
            </w:r>
          </w:p>
        </w:tc>
      </w:tr>
      <w:tr w:rsidR="00375326" w14:paraId="33EF4C1D" w14:textId="77777777">
        <w:trPr>
          <w:trHeight w:val="5115"/>
          <w:jc w:val="center"/>
        </w:trPr>
        <w:tc>
          <w:tcPr>
            <w:tcW w:w="2535" w:type="dxa"/>
            <w:tcBorders>
              <w:top w:val="nil"/>
              <w:left w:val="single" w:sz="8" w:space="0" w:color="auto"/>
              <w:bottom w:val="nil"/>
              <w:right w:val="single" w:sz="4" w:space="0" w:color="auto"/>
            </w:tcBorders>
            <w:shd w:val="clear" w:color="auto" w:fill="auto"/>
          </w:tcPr>
          <w:p w14:paraId="33EF4C02" w14:textId="77777777" w:rsidR="00375326" w:rsidRDefault="003852B1">
            <w:pPr>
              <w:spacing w:after="0" w:line="240" w:lineRule="auto"/>
              <w:rPr>
                <w:rFonts w:ascii="Arial" w:eastAsia="Times New Roman" w:hAnsi="Arial" w:cs="Arial"/>
                <w:b/>
                <w:sz w:val="20"/>
                <w:szCs w:val="20"/>
              </w:rPr>
            </w:pPr>
            <w:r>
              <w:rPr>
                <w:rFonts w:ascii="Arial" w:eastAsia="Times New Roman" w:hAnsi="Arial" w:cs="Arial"/>
                <w:b/>
                <w:sz w:val="20"/>
                <w:szCs w:val="20"/>
              </w:rPr>
              <w:lastRenderedPageBreak/>
              <w:t xml:space="preserve">Appendix B RPS Compliance Permitting </w:t>
            </w:r>
          </w:p>
          <w:p w14:paraId="33EF4C03" w14:textId="77777777" w:rsidR="00375326" w:rsidRDefault="00375326">
            <w:pPr>
              <w:spacing w:after="0" w:line="240" w:lineRule="auto"/>
              <w:rPr>
                <w:rFonts w:ascii="Arial" w:eastAsia="Times New Roman" w:hAnsi="Arial" w:cs="Arial"/>
                <w:sz w:val="20"/>
                <w:szCs w:val="20"/>
              </w:rPr>
            </w:pPr>
          </w:p>
          <w:p w14:paraId="33EF4C04" w14:textId="77777777" w:rsidR="00375326" w:rsidRDefault="003852B1">
            <w:pPr>
              <w:spacing w:after="0" w:line="240" w:lineRule="auto"/>
              <w:rPr>
                <w:rFonts w:ascii="Arial" w:eastAsia="Times New Roman" w:hAnsi="Arial" w:cs="Arial"/>
                <w:b/>
                <w:sz w:val="20"/>
                <w:szCs w:val="20"/>
              </w:rPr>
            </w:pPr>
            <w:r>
              <w:rPr>
                <w:rFonts w:ascii="Arial" w:eastAsia="Times New Roman" w:hAnsi="Arial" w:cs="Arial"/>
                <w:b/>
                <w:sz w:val="20"/>
                <w:szCs w:val="20"/>
              </w:rPr>
              <w:t>Column C</w:t>
            </w:r>
          </w:p>
          <w:p w14:paraId="33EF4C05" w14:textId="77777777" w:rsidR="00375326" w:rsidRDefault="00375326">
            <w:pPr>
              <w:spacing w:after="0" w:line="240" w:lineRule="auto"/>
              <w:rPr>
                <w:rFonts w:ascii="Arial" w:eastAsia="Times New Roman" w:hAnsi="Arial" w:cs="Arial"/>
                <w:sz w:val="20"/>
                <w:szCs w:val="20"/>
              </w:rPr>
            </w:pPr>
          </w:p>
          <w:p w14:paraId="33EF4C06"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b/>
                <w:sz w:val="20"/>
                <w:szCs w:val="20"/>
              </w:rPr>
              <w:t>Column G</w:t>
            </w:r>
            <w:r>
              <w:rPr>
                <w:rFonts w:ascii="Arial" w:eastAsia="Times New Roman" w:hAnsi="Arial" w:cs="Arial"/>
                <w:sz w:val="20"/>
                <w:szCs w:val="20"/>
              </w:rPr>
              <w:t xml:space="preserve"> (except rows 3, 6-14, 16, 17, 21-31, 33-38, 43, 44, 48, 49)</w:t>
            </w:r>
          </w:p>
          <w:p w14:paraId="33EF4C07" w14:textId="77777777" w:rsidR="00375326" w:rsidRDefault="00375326">
            <w:pPr>
              <w:spacing w:after="0" w:line="240" w:lineRule="auto"/>
              <w:rPr>
                <w:rFonts w:ascii="Arial" w:eastAsia="Times New Roman" w:hAnsi="Arial" w:cs="Arial"/>
                <w:sz w:val="20"/>
                <w:szCs w:val="20"/>
              </w:rPr>
            </w:pPr>
          </w:p>
          <w:p w14:paraId="33EF4C08"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b/>
                <w:sz w:val="20"/>
                <w:szCs w:val="20"/>
              </w:rPr>
              <w:t xml:space="preserve">Column H </w:t>
            </w:r>
            <w:r>
              <w:rPr>
                <w:rFonts w:ascii="Arial" w:eastAsia="Times New Roman" w:hAnsi="Arial" w:cs="Arial"/>
                <w:sz w:val="20"/>
                <w:szCs w:val="20"/>
              </w:rPr>
              <w:t>(except rows 3, 6-14, 16, 17, 21-31, 33-38, 43, 44, 48, 49)</w:t>
            </w:r>
          </w:p>
        </w:tc>
        <w:tc>
          <w:tcPr>
            <w:tcW w:w="1530" w:type="dxa"/>
            <w:tcBorders>
              <w:top w:val="nil"/>
              <w:left w:val="nil"/>
              <w:bottom w:val="nil"/>
              <w:right w:val="single" w:sz="4" w:space="0" w:color="auto"/>
            </w:tcBorders>
            <w:shd w:val="clear" w:color="auto" w:fill="auto"/>
          </w:tcPr>
          <w:p w14:paraId="33EF4C09"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No</w:t>
            </w:r>
          </w:p>
        </w:tc>
        <w:tc>
          <w:tcPr>
            <w:tcW w:w="1440" w:type="dxa"/>
            <w:tcBorders>
              <w:top w:val="nil"/>
              <w:left w:val="nil"/>
              <w:bottom w:val="nil"/>
              <w:right w:val="single" w:sz="4" w:space="0" w:color="auto"/>
            </w:tcBorders>
            <w:shd w:val="clear" w:color="auto" w:fill="auto"/>
          </w:tcPr>
          <w:p w14:paraId="33EF4C0A"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 xml:space="preserve">Item VII (un-numbered category following VII G) Score sheets, </w:t>
            </w:r>
            <w:r>
              <w:rPr>
                <w:rFonts w:ascii="Arial" w:eastAsia="Times New Roman" w:hAnsi="Arial" w:cs="Arial"/>
                <w:sz w:val="20"/>
                <w:szCs w:val="20"/>
              </w:rPr>
              <w:t>analyses, evaluations of proposed RPS projects.</w:t>
            </w:r>
          </w:p>
          <w:p w14:paraId="33EF4C0B" w14:textId="77777777" w:rsidR="00375326" w:rsidRDefault="00375326">
            <w:pPr>
              <w:spacing w:after="0" w:line="240" w:lineRule="auto"/>
              <w:rPr>
                <w:rFonts w:ascii="Arial" w:eastAsia="Times New Roman" w:hAnsi="Arial" w:cs="Arial"/>
                <w:sz w:val="20"/>
                <w:szCs w:val="20"/>
              </w:rPr>
            </w:pPr>
          </w:p>
          <w:p w14:paraId="33EF4C0C" w14:textId="57ADF056"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General Order 66-C.</w:t>
            </w:r>
          </w:p>
        </w:tc>
        <w:tc>
          <w:tcPr>
            <w:tcW w:w="1572" w:type="dxa"/>
            <w:tcBorders>
              <w:top w:val="nil"/>
              <w:left w:val="nil"/>
              <w:bottom w:val="nil"/>
              <w:right w:val="single" w:sz="4" w:space="0" w:color="auto"/>
            </w:tcBorders>
            <w:shd w:val="clear" w:color="auto" w:fill="auto"/>
          </w:tcPr>
          <w:p w14:paraId="33EF4C0D"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N/A</w:t>
            </w:r>
          </w:p>
        </w:tc>
        <w:tc>
          <w:tcPr>
            <w:tcW w:w="1316" w:type="dxa"/>
            <w:tcBorders>
              <w:top w:val="nil"/>
              <w:left w:val="nil"/>
              <w:bottom w:val="nil"/>
              <w:right w:val="single" w:sz="4" w:space="0" w:color="auto"/>
            </w:tcBorders>
            <w:shd w:val="clear" w:color="auto" w:fill="auto"/>
          </w:tcPr>
          <w:p w14:paraId="33EF4C0E"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nil"/>
              <w:left w:val="nil"/>
              <w:bottom w:val="nil"/>
              <w:right w:val="single" w:sz="4" w:space="0" w:color="auto"/>
            </w:tcBorders>
            <w:shd w:val="clear" w:color="auto" w:fill="auto"/>
          </w:tcPr>
          <w:p w14:paraId="33EF4C0F"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Yes</w:t>
            </w:r>
          </w:p>
          <w:p w14:paraId="33EF4C10" w14:textId="77777777" w:rsidR="00375326" w:rsidRDefault="00375326">
            <w:pPr>
              <w:rPr>
                <w:rFonts w:ascii="Arial" w:eastAsia="Times New Roman" w:hAnsi="Arial" w:cs="Arial"/>
                <w:sz w:val="20"/>
                <w:szCs w:val="20"/>
              </w:rPr>
            </w:pPr>
          </w:p>
          <w:p w14:paraId="33EF4C11" w14:textId="77777777" w:rsidR="00375326" w:rsidRDefault="00375326">
            <w:pPr>
              <w:rPr>
                <w:rFonts w:ascii="Arial" w:eastAsia="Times New Roman" w:hAnsi="Arial" w:cs="Arial"/>
                <w:sz w:val="20"/>
                <w:szCs w:val="20"/>
              </w:rPr>
            </w:pPr>
          </w:p>
          <w:p w14:paraId="33EF4C12" w14:textId="77777777" w:rsidR="00375326" w:rsidRDefault="00375326">
            <w:pPr>
              <w:rPr>
                <w:rFonts w:ascii="Arial" w:eastAsia="Times New Roman" w:hAnsi="Arial" w:cs="Arial"/>
                <w:sz w:val="20"/>
                <w:szCs w:val="20"/>
              </w:rPr>
            </w:pPr>
          </w:p>
          <w:p w14:paraId="33EF4C13" w14:textId="77777777" w:rsidR="00375326" w:rsidRDefault="00375326">
            <w:pPr>
              <w:rPr>
                <w:rFonts w:ascii="Arial" w:eastAsia="Times New Roman" w:hAnsi="Arial" w:cs="Arial"/>
                <w:sz w:val="20"/>
                <w:szCs w:val="20"/>
              </w:rPr>
            </w:pPr>
          </w:p>
          <w:p w14:paraId="33EF4C14" w14:textId="77777777" w:rsidR="00375326" w:rsidRDefault="00375326">
            <w:pPr>
              <w:rPr>
                <w:rFonts w:ascii="Arial" w:eastAsia="Times New Roman" w:hAnsi="Arial" w:cs="Arial"/>
                <w:sz w:val="20"/>
                <w:szCs w:val="20"/>
              </w:rPr>
            </w:pPr>
          </w:p>
          <w:p w14:paraId="33EF4C15" w14:textId="77777777" w:rsidR="00375326" w:rsidRDefault="00375326">
            <w:pPr>
              <w:rPr>
                <w:rFonts w:ascii="Arial" w:eastAsia="Times New Roman" w:hAnsi="Arial" w:cs="Arial"/>
                <w:sz w:val="20"/>
                <w:szCs w:val="20"/>
              </w:rPr>
            </w:pPr>
          </w:p>
          <w:p w14:paraId="33EF4C16" w14:textId="77777777" w:rsidR="00375326" w:rsidRDefault="00375326">
            <w:pPr>
              <w:rPr>
                <w:rFonts w:ascii="Arial" w:eastAsia="Times New Roman" w:hAnsi="Arial" w:cs="Arial"/>
                <w:sz w:val="20"/>
                <w:szCs w:val="20"/>
              </w:rPr>
            </w:pPr>
          </w:p>
          <w:p w14:paraId="33EF4C17" w14:textId="77777777" w:rsidR="00375326" w:rsidRDefault="00375326">
            <w:pPr>
              <w:rPr>
                <w:rFonts w:ascii="Arial" w:eastAsia="Times New Roman" w:hAnsi="Arial" w:cs="Arial"/>
                <w:sz w:val="20"/>
                <w:szCs w:val="20"/>
              </w:rPr>
            </w:pPr>
          </w:p>
        </w:tc>
        <w:tc>
          <w:tcPr>
            <w:tcW w:w="3883" w:type="dxa"/>
            <w:tcBorders>
              <w:top w:val="nil"/>
              <w:left w:val="nil"/>
              <w:bottom w:val="nil"/>
              <w:right w:val="single" w:sz="4" w:space="0" w:color="auto"/>
            </w:tcBorders>
            <w:shd w:val="clear" w:color="auto" w:fill="auto"/>
          </w:tcPr>
          <w:p w14:paraId="33EF4C18" w14:textId="1A91A9C4" w:rsidR="00375326" w:rsidRDefault="003852B1">
            <w:pPr>
              <w:rPr>
                <w:rFonts w:ascii="Arial" w:eastAsia="Times New Roman" w:hAnsi="Arial" w:cs="Arial"/>
                <w:sz w:val="20"/>
                <w:szCs w:val="20"/>
              </w:rPr>
            </w:pPr>
            <w:r>
              <w:rPr>
                <w:rFonts w:ascii="Arial" w:eastAsia="Times New Roman" w:hAnsi="Arial" w:cs="Arial"/>
                <w:sz w:val="20"/>
                <w:szCs w:val="20"/>
              </w:rPr>
              <w:t>This data constitutes commercially sensitive</w:t>
            </w:r>
            <w:r>
              <w:rPr>
                <w:rFonts w:ascii="Arial" w:eastAsia="Times New Roman" w:hAnsi="Arial" w:cs="Arial"/>
                <w:sz w:val="20"/>
                <w:szCs w:val="20"/>
              </w:rPr>
              <w:t xml:space="preserve"> and </w:t>
            </w:r>
            <w:r>
              <w:rPr>
                <w:rFonts w:ascii="Arial" w:eastAsia="Times New Roman" w:hAnsi="Arial" w:cs="Arial"/>
                <w:sz w:val="20"/>
                <w:szCs w:val="20"/>
              </w:rPr>
              <w:t>proprietary</w:t>
            </w:r>
            <w:r>
              <w:rPr>
                <w:rFonts w:ascii="Arial" w:eastAsia="Times New Roman" w:hAnsi="Arial" w:cs="Arial"/>
                <w:sz w:val="20"/>
                <w:szCs w:val="20"/>
              </w:rPr>
              <w:t xml:space="preserve"> information that should be</w:t>
            </w:r>
            <w:r>
              <w:rPr>
                <w:rFonts w:ascii="Arial" w:eastAsia="Times New Roman" w:hAnsi="Arial" w:cs="Arial"/>
                <w:sz w:val="20"/>
                <w:szCs w:val="20"/>
              </w:rPr>
              <w:t xml:space="preserve"> withheld from public disclosure under General Order 66-C paragraph 2.8.  It includes, for example, whether a particular project is on schedule in its permitting process and specific site information.  There are several reasons why it is in the public inte</w:t>
            </w:r>
            <w:r>
              <w:rPr>
                <w:rFonts w:ascii="Arial" w:eastAsia="Times New Roman" w:hAnsi="Arial" w:cs="Arial"/>
                <w:sz w:val="20"/>
                <w:szCs w:val="20"/>
              </w:rPr>
              <w:t xml:space="preserve">rest to protect the confidentiality of this information. </w:t>
            </w:r>
          </w:p>
          <w:p w14:paraId="33EF4C19"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First, disclosure of this information could discourage developers from frankly communicating project status to PG&amp;E, and thus undermine PG&amp;E's ability to adequately monitor RPS development progress.</w:t>
            </w:r>
            <w:r>
              <w:rPr>
                <w:rFonts w:ascii="Arial" w:eastAsia="Times New Roman" w:hAnsi="Arial" w:cs="Arial"/>
                <w:sz w:val="20"/>
                <w:szCs w:val="20"/>
              </w:rPr>
              <w:t xml:space="preserve">  Second, PG&amp;E's counterparties oppose making this information public.  If this information is not protected, developers may not respond to PG&amp;E's solicitation for bids, impairing PG&amp;E's ability to increase its procurement of renewable energy resources.  I</w:t>
            </w:r>
            <w:r>
              <w:rPr>
                <w:rFonts w:ascii="Arial" w:eastAsia="Times New Roman" w:hAnsi="Arial" w:cs="Arial"/>
                <w:sz w:val="20"/>
                <w:szCs w:val="20"/>
              </w:rPr>
              <w:t>n addition, release of this information may result in developers increasing project costs in the future to compensate them for competitive harm resulting from disclosure.   It is also in the public interest to protect the confidentiality of this informatio</w:t>
            </w:r>
            <w:r>
              <w:rPr>
                <w:rFonts w:ascii="Arial" w:eastAsia="Times New Roman" w:hAnsi="Arial" w:cs="Arial"/>
                <w:sz w:val="20"/>
                <w:szCs w:val="20"/>
              </w:rPr>
              <w:t xml:space="preserve">n to ensure a vibrant, viable competitive market for renewable energy supplies.  Disclosure of this information would provide valuable market sensitive information to competitors and could damage negotiations by providing information about other potential </w:t>
            </w:r>
            <w:r>
              <w:rPr>
                <w:rFonts w:ascii="Arial" w:eastAsia="Times New Roman" w:hAnsi="Arial" w:cs="Arial"/>
                <w:sz w:val="20"/>
                <w:szCs w:val="20"/>
              </w:rPr>
              <w:t xml:space="preserve">renewables projects.  </w:t>
            </w:r>
          </w:p>
        </w:tc>
        <w:tc>
          <w:tcPr>
            <w:tcW w:w="1273" w:type="dxa"/>
            <w:tcBorders>
              <w:top w:val="nil"/>
              <w:left w:val="nil"/>
              <w:bottom w:val="nil"/>
              <w:right w:val="single" w:sz="8" w:space="0" w:color="auto"/>
            </w:tcBorders>
            <w:shd w:val="clear" w:color="auto" w:fill="auto"/>
          </w:tcPr>
          <w:p w14:paraId="33EF4C1A"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For VII (un-numbered category following VII G), remain confidential for three years from the 2/15/13 cut-off for this analysis.</w:t>
            </w:r>
          </w:p>
          <w:p w14:paraId="33EF4C1B" w14:textId="77777777" w:rsidR="00375326" w:rsidRDefault="00375326">
            <w:pPr>
              <w:spacing w:after="0" w:line="240" w:lineRule="auto"/>
              <w:rPr>
                <w:rFonts w:ascii="Arial" w:eastAsia="Times New Roman" w:hAnsi="Arial" w:cs="Arial"/>
                <w:sz w:val="20"/>
                <w:szCs w:val="20"/>
              </w:rPr>
            </w:pPr>
          </w:p>
          <w:p w14:paraId="33EF4C1C" w14:textId="351BA170"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Remain confidential until no longer protected pursuant to the provisions of G.O. 66-C.</w:t>
            </w:r>
          </w:p>
        </w:tc>
      </w:tr>
      <w:tr w:rsidR="00375326" w14:paraId="33EF4C2C" w14:textId="77777777">
        <w:trPr>
          <w:trHeight w:val="5115"/>
          <w:jc w:val="center"/>
        </w:trPr>
        <w:tc>
          <w:tcPr>
            <w:tcW w:w="2535" w:type="dxa"/>
            <w:tcBorders>
              <w:top w:val="nil"/>
              <w:left w:val="single" w:sz="8" w:space="0" w:color="auto"/>
              <w:bottom w:val="nil"/>
              <w:right w:val="single" w:sz="4" w:space="0" w:color="auto"/>
            </w:tcBorders>
            <w:shd w:val="clear" w:color="auto" w:fill="auto"/>
          </w:tcPr>
          <w:p w14:paraId="33EF4C1E" w14:textId="77777777" w:rsidR="00375326" w:rsidRDefault="003852B1">
            <w:pPr>
              <w:rPr>
                <w:rFonts w:ascii="Arial" w:eastAsia="Times New Roman" w:hAnsi="Arial" w:cs="Arial"/>
                <w:sz w:val="20"/>
                <w:szCs w:val="20"/>
              </w:rPr>
            </w:pPr>
            <w:r>
              <w:rPr>
                <w:rFonts w:ascii="Arial" w:eastAsia="Times New Roman" w:hAnsi="Arial" w:cs="Arial"/>
                <w:b/>
                <w:bCs/>
                <w:sz w:val="20"/>
                <w:szCs w:val="20"/>
              </w:rPr>
              <w:lastRenderedPageBreak/>
              <w:t xml:space="preserve">Appendix C1 - Quantitative Information: </w:t>
            </w:r>
            <w:r>
              <w:rPr>
                <w:rFonts w:ascii="Arial" w:eastAsia="Times New Roman" w:hAnsi="Arial" w:cs="Arial"/>
                <w:bCs/>
                <w:sz w:val="20"/>
                <w:szCs w:val="20"/>
              </w:rPr>
              <w:t>Net Short Calculations Using PG&amp;E Bundled Retail Sales Forecast In Near Term (2013 - 2017) and LTPP Methodology (2018 - 2030)</w:t>
            </w:r>
            <w:r>
              <w:rPr>
                <w:rFonts w:ascii="Arial" w:eastAsia="Times New Roman" w:hAnsi="Arial" w:cs="Arial"/>
                <w:b/>
                <w:bCs/>
                <w:sz w:val="20"/>
                <w:szCs w:val="20"/>
              </w:rPr>
              <w:br/>
            </w:r>
            <w:r>
              <w:rPr>
                <w:rFonts w:ascii="Arial" w:eastAsia="Times New Roman" w:hAnsi="Arial" w:cs="Arial"/>
                <w:sz w:val="20"/>
                <w:szCs w:val="20"/>
              </w:rPr>
              <w:br/>
            </w:r>
            <w:r>
              <w:rPr>
                <w:rFonts w:ascii="Arial" w:eastAsia="Times New Roman" w:hAnsi="Arial" w:cs="Arial"/>
                <w:sz w:val="20"/>
                <w:szCs w:val="20"/>
              </w:rPr>
              <w:t xml:space="preserve">Lines 4-9, years 2013-2016; </w:t>
            </w:r>
          </w:p>
          <w:p w14:paraId="33EF4C1F" w14:textId="77777777" w:rsidR="00375326" w:rsidRDefault="003852B1">
            <w:pPr>
              <w:rPr>
                <w:rFonts w:ascii="Arial" w:eastAsia="Times New Roman" w:hAnsi="Arial" w:cs="Arial"/>
                <w:sz w:val="20"/>
                <w:szCs w:val="20"/>
              </w:rPr>
            </w:pPr>
            <w:r>
              <w:rPr>
                <w:rFonts w:ascii="Arial" w:eastAsia="Times New Roman" w:hAnsi="Arial" w:cs="Arial"/>
                <w:sz w:val="20"/>
                <w:szCs w:val="20"/>
              </w:rPr>
              <w:t>Line 10, 2013-2015;</w:t>
            </w:r>
          </w:p>
          <w:p w14:paraId="33EF4C20" w14:textId="77777777" w:rsidR="00375326" w:rsidRDefault="003852B1">
            <w:pPr>
              <w:rPr>
                <w:rFonts w:ascii="Arial" w:eastAsia="Times New Roman" w:hAnsi="Arial" w:cs="Arial"/>
                <w:sz w:val="20"/>
                <w:szCs w:val="20"/>
              </w:rPr>
            </w:pPr>
            <w:r>
              <w:rPr>
                <w:rFonts w:ascii="Arial" w:eastAsia="Times New Roman" w:hAnsi="Arial" w:cs="Arial"/>
                <w:sz w:val="20"/>
                <w:szCs w:val="20"/>
              </w:rPr>
              <w:t>Lines 16-21, years 2011-2016;</w:t>
            </w:r>
          </w:p>
          <w:p w14:paraId="33EF4C21" w14:textId="77777777" w:rsidR="00375326" w:rsidRDefault="003852B1">
            <w:pPr>
              <w:rPr>
                <w:rFonts w:ascii="Arial" w:eastAsia="Times New Roman" w:hAnsi="Arial" w:cs="Arial"/>
                <w:sz w:val="20"/>
                <w:szCs w:val="20"/>
              </w:rPr>
            </w:pPr>
            <w:r>
              <w:rPr>
                <w:rFonts w:ascii="Arial" w:eastAsia="Times New Roman" w:hAnsi="Arial" w:cs="Arial"/>
                <w:sz w:val="20"/>
                <w:szCs w:val="20"/>
              </w:rPr>
              <w:t>Lines 22, years 2011-2013</w:t>
            </w:r>
          </w:p>
          <w:p w14:paraId="33EF4C22" w14:textId="77777777" w:rsidR="00375326" w:rsidRDefault="00375326">
            <w:pPr>
              <w:rPr>
                <w:rFonts w:ascii="Arial" w:eastAsia="Times New Roman" w:hAnsi="Arial" w:cs="Arial"/>
                <w:b/>
                <w:bCs/>
                <w:sz w:val="20"/>
                <w:szCs w:val="20"/>
              </w:rPr>
            </w:pPr>
          </w:p>
          <w:p w14:paraId="33EF4C23" w14:textId="77777777" w:rsidR="00375326" w:rsidRDefault="00375326">
            <w:pPr>
              <w:spacing w:after="0" w:line="240" w:lineRule="auto"/>
              <w:rPr>
                <w:rFonts w:ascii="Arial" w:eastAsia="Times New Roman" w:hAnsi="Arial" w:cs="Arial"/>
                <w:b/>
                <w:sz w:val="20"/>
                <w:szCs w:val="20"/>
              </w:rPr>
            </w:pPr>
          </w:p>
        </w:tc>
        <w:tc>
          <w:tcPr>
            <w:tcW w:w="1530" w:type="dxa"/>
            <w:tcBorders>
              <w:top w:val="nil"/>
              <w:left w:val="nil"/>
              <w:bottom w:val="nil"/>
              <w:right w:val="single" w:sz="4" w:space="0" w:color="auto"/>
            </w:tcBorders>
            <w:shd w:val="clear" w:color="auto" w:fill="auto"/>
          </w:tcPr>
          <w:p w14:paraId="33EF4C24"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440" w:type="dxa"/>
            <w:tcBorders>
              <w:top w:val="nil"/>
              <w:left w:val="nil"/>
              <w:bottom w:val="nil"/>
              <w:right w:val="single" w:sz="4" w:space="0" w:color="auto"/>
            </w:tcBorders>
            <w:shd w:val="clear" w:color="auto" w:fill="auto"/>
          </w:tcPr>
          <w:p w14:paraId="33EF4C25"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Item V(C): LSE Total Energy Forecast Bundled Customer (MWh)</w:t>
            </w:r>
            <w:r>
              <w:rPr>
                <w:rFonts w:ascii="Arial" w:eastAsia="Times New Roman" w:hAnsi="Arial" w:cs="Arial"/>
                <w:sz w:val="20"/>
                <w:szCs w:val="20"/>
              </w:rPr>
              <w:br/>
            </w:r>
            <w:r>
              <w:rPr>
                <w:rFonts w:ascii="Arial" w:eastAsia="Times New Roman" w:hAnsi="Arial" w:cs="Arial"/>
                <w:sz w:val="20"/>
                <w:szCs w:val="20"/>
              </w:rPr>
              <w:br/>
              <w:t>VI(B): Utility Bundled Net Open (Long or Short) Position for Energy</w:t>
            </w:r>
          </w:p>
        </w:tc>
        <w:tc>
          <w:tcPr>
            <w:tcW w:w="1572" w:type="dxa"/>
            <w:tcBorders>
              <w:top w:val="nil"/>
              <w:left w:val="nil"/>
              <w:bottom w:val="nil"/>
              <w:right w:val="single" w:sz="4" w:space="0" w:color="auto"/>
            </w:tcBorders>
            <w:shd w:val="clear" w:color="auto" w:fill="auto"/>
          </w:tcPr>
          <w:p w14:paraId="33EF4C26"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316" w:type="dxa"/>
            <w:tcBorders>
              <w:top w:val="nil"/>
              <w:left w:val="nil"/>
              <w:bottom w:val="nil"/>
              <w:right w:val="single" w:sz="4" w:space="0" w:color="auto"/>
            </w:tcBorders>
            <w:shd w:val="clear" w:color="auto" w:fill="auto"/>
          </w:tcPr>
          <w:p w14:paraId="33EF4C27" w14:textId="77777777" w:rsidR="00375326" w:rsidRDefault="003852B1">
            <w:pPr>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nil"/>
              <w:left w:val="nil"/>
              <w:bottom w:val="nil"/>
              <w:right w:val="single" w:sz="4" w:space="0" w:color="auto"/>
            </w:tcBorders>
            <w:shd w:val="clear" w:color="auto" w:fill="auto"/>
          </w:tcPr>
          <w:p w14:paraId="33EF4C28"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Yes</w:t>
            </w:r>
          </w:p>
        </w:tc>
        <w:tc>
          <w:tcPr>
            <w:tcW w:w="3883" w:type="dxa"/>
            <w:tcBorders>
              <w:top w:val="nil"/>
              <w:left w:val="nil"/>
              <w:bottom w:val="nil"/>
              <w:right w:val="single" w:sz="4" w:space="0" w:color="auto"/>
            </w:tcBorders>
            <w:shd w:val="clear" w:color="auto" w:fill="auto"/>
          </w:tcPr>
          <w:p w14:paraId="33EF4C29" w14:textId="77777777" w:rsidR="00375326" w:rsidRDefault="003852B1">
            <w:pPr>
              <w:rPr>
                <w:rFonts w:ascii="Arial" w:eastAsia="Times New Roman" w:hAnsi="Arial" w:cs="Arial"/>
                <w:sz w:val="20"/>
                <w:szCs w:val="20"/>
              </w:rPr>
            </w:pPr>
            <w:r>
              <w:rPr>
                <w:rFonts w:ascii="Arial" w:eastAsia="Times New Roman" w:hAnsi="Arial" w:cs="Arial"/>
                <w:sz w:val="20"/>
                <w:szCs w:val="20"/>
              </w:rPr>
              <w:t xml:space="preserve">This information shows PG&amp;E's net position for RPS-eligible energy in the periods within the front three years of the forecast.  </w:t>
            </w:r>
          </w:p>
          <w:p w14:paraId="33EF4C2A" w14:textId="77777777" w:rsidR="00375326" w:rsidRDefault="003852B1">
            <w:pPr>
              <w:rPr>
                <w:rFonts w:ascii="Arial" w:eastAsia="Times New Roman" w:hAnsi="Arial" w:cs="Arial"/>
                <w:sz w:val="20"/>
                <w:szCs w:val="20"/>
              </w:rPr>
            </w:pPr>
            <w:r>
              <w:rPr>
                <w:rFonts w:ascii="Arial" w:eastAsia="Times New Roman" w:hAnsi="Arial" w:cs="Arial"/>
                <w:sz w:val="20"/>
                <w:szCs w:val="20"/>
              </w:rPr>
              <w:t>The redacted information in Rows 4, 5, 9, 16, 17, and 21 could also be manipulated in conjunction with publicly-available info</w:t>
            </w:r>
            <w:r>
              <w:rPr>
                <w:rFonts w:ascii="Arial" w:eastAsia="Times New Roman" w:hAnsi="Arial" w:cs="Arial"/>
                <w:sz w:val="20"/>
                <w:szCs w:val="20"/>
              </w:rPr>
              <w:t>rmation to determine PG&amp;E's internal and proprietary forecast of its bundled customer total energy requirements.</w:t>
            </w:r>
            <w:r>
              <w:rPr>
                <w:rFonts w:ascii="Arial" w:eastAsia="Times New Roman" w:hAnsi="Arial" w:cs="Arial"/>
                <w:sz w:val="20"/>
                <w:szCs w:val="20"/>
              </w:rPr>
              <w:br/>
            </w:r>
            <w:r>
              <w:rPr>
                <w:rFonts w:ascii="Arial" w:eastAsia="Times New Roman" w:hAnsi="Arial" w:cs="Arial"/>
                <w:sz w:val="20"/>
                <w:szCs w:val="20"/>
              </w:rPr>
              <w:br/>
            </w:r>
          </w:p>
        </w:tc>
        <w:tc>
          <w:tcPr>
            <w:tcW w:w="1273" w:type="dxa"/>
            <w:tcBorders>
              <w:top w:val="nil"/>
              <w:left w:val="nil"/>
              <w:bottom w:val="nil"/>
              <w:right w:val="single" w:sz="8" w:space="0" w:color="auto"/>
            </w:tcBorders>
            <w:shd w:val="clear" w:color="auto" w:fill="auto"/>
          </w:tcPr>
          <w:p w14:paraId="33EF4C2B"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Front three years.</w:t>
            </w:r>
          </w:p>
        </w:tc>
      </w:tr>
      <w:tr w:rsidR="00375326" w14:paraId="33EF4C3B" w14:textId="77777777">
        <w:trPr>
          <w:trHeight w:val="5115"/>
          <w:jc w:val="center"/>
        </w:trPr>
        <w:tc>
          <w:tcPr>
            <w:tcW w:w="2535" w:type="dxa"/>
            <w:tcBorders>
              <w:top w:val="nil"/>
              <w:left w:val="single" w:sz="8" w:space="0" w:color="auto"/>
              <w:bottom w:val="nil"/>
              <w:right w:val="single" w:sz="4" w:space="0" w:color="auto"/>
            </w:tcBorders>
            <w:shd w:val="clear" w:color="auto" w:fill="auto"/>
          </w:tcPr>
          <w:p w14:paraId="33EF4C2D" w14:textId="77777777" w:rsidR="00375326" w:rsidRDefault="003852B1">
            <w:pPr>
              <w:rPr>
                <w:rFonts w:ascii="Arial" w:eastAsia="Times New Roman" w:hAnsi="Arial" w:cs="Arial"/>
                <w:b/>
                <w:bCs/>
                <w:sz w:val="20"/>
                <w:szCs w:val="20"/>
              </w:rPr>
            </w:pPr>
            <w:r>
              <w:rPr>
                <w:rFonts w:ascii="Arial" w:eastAsia="Times New Roman" w:hAnsi="Arial" w:cs="Arial"/>
                <w:b/>
                <w:bCs/>
                <w:sz w:val="20"/>
                <w:szCs w:val="20"/>
              </w:rPr>
              <w:lastRenderedPageBreak/>
              <w:t xml:space="preserve">Appendix C2 - Quantitative Information: </w:t>
            </w:r>
            <w:r>
              <w:rPr>
                <w:rFonts w:ascii="Arial" w:eastAsia="Times New Roman" w:hAnsi="Arial" w:cs="Arial"/>
                <w:bCs/>
                <w:sz w:val="20"/>
                <w:szCs w:val="20"/>
              </w:rPr>
              <w:t>Net Short Calculations Using PG&amp;E Bundled Retail Sales Forecast</w:t>
            </w:r>
          </w:p>
          <w:p w14:paraId="33EF4C2E" w14:textId="77777777" w:rsidR="00375326" w:rsidRDefault="003852B1">
            <w:pPr>
              <w:rPr>
                <w:rFonts w:ascii="Arial" w:eastAsia="Times New Roman" w:hAnsi="Arial" w:cs="Arial"/>
                <w:sz w:val="20"/>
                <w:szCs w:val="20"/>
              </w:rPr>
            </w:pPr>
            <w:r>
              <w:rPr>
                <w:rFonts w:ascii="Arial" w:eastAsia="Times New Roman" w:hAnsi="Arial" w:cs="Arial"/>
                <w:sz w:val="20"/>
                <w:szCs w:val="20"/>
              </w:rPr>
              <w:t xml:space="preserve">Lines 4-9, years 2013-2016; </w:t>
            </w:r>
          </w:p>
          <w:p w14:paraId="33EF4C2F" w14:textId="77777777" w:rsidR="00375326" w:rsidRDefault="003852B1">
            <w:pPr>
              <w:rPr>
                <w:rFonts w:ascii="Arial" w:eastAsia="Times New Roman" w:hAnsi="Arial" w:cs="Arial"/>
                <w:sz w:val="20"/>
                <w:szCs w:val="20"/>
              </w:rPr>
            </w:pPr>
            <w:r>
              <w:rPr>
                <w:rFonts w:ascii="Arial" w:eastAsia="Times New Roman" w:hAnsi="Arial" w:cs="Arial"/>
                <w:sz w:val="20"/>
                <w:szCs w:val="20"/>
              </w:rPr>
              <w:t>Line 10, 2013-2015;</w:t>
            </w:r>
          </w:p>
          <w:p w14:paraId="33EF4C30" w14:textId="77777777" w:rsidR="00375326" w:rsidRDefault="003852B1">
            <w:pPr>
              <w:rPr>
                <w:rFonts w:ascii="Arial" w:eastAsia="Times New Roman" w:hAnsi="Arial" w:cs="Arial"/>
                <w:sz w:val="20"/>
                <w:szCs w:val="20"/>
              </w:rPr>
            </w:pPr>
            <w:r>
              <w:rPr>
                <w:rFonts w:ascii="Arial" w:eastAsia="Times New Roman" w:hAnsi="Arial" w:cs="Arial"/>
                <w:sz w:val="20"/>
                <w:szCs w:val="20"/>
              </w:rPr>
              <w:t>Lines 16-21, years 2011-2016;</w:t>
            </w:r>
          </w:p>
          <w:p w14:paraId="33EF4C31" w14:textId="77777777" w:rsidR="00375326" w:rsidRDefault="003852B1">
            <w:pPr>
              <w:rPr>
                <w:rFonts w:ascii="Arial" w:eastAsia="Times New Roman" w:hAnsi="Arial" w:cs="Arial"/>
                <w:sz w:val="20"/>
                <w:szCs w:val="20"/>
              </w:rPr>
            </w:pPr>
            <w:r>
              <w:rPr>
                <w:rFonts w:ascii="Arial" w:eastAsia="Times New Roman" w:hAnsi="Arial" w:cs="Arial"/>
                <w:sz w:val="20"/>
                <w:szCs w:val="20"/>
              </w:rPr>
              <w:t>Lines 22, years 2011-2013</w:t>
            </w:r>
          </w:p>
          <w:p w14:paraId="33EF4C32" w14:textId="77777777" w:rsidR="00375326" w:rsidRDefault="00375326">
            <w:pPr>
              <w:rPr>
                <w:rFonts w:ascii="Arial" w:eastAsia="Times New Roman" w:hAnsi="Arial" w:cs="Arial"/>
                <w:sz w:val="20"/>
                <w:szCs w:val="20"/>
              </w:rPr>
            </w:pPr>
          </w:p>
        </w:tc>
        <w:tc>
          <w:tcPr>
            <w:tcW w:w="1530" w:type="dxa"/>
            <w:tcBorders>
              <w:top w:val="nil"/>
              <w:left w:val="nil"/>
              <w:bottom w:val="nil"/>
              <w:right w:val="single" w:sz="4" w:space="0" w:color="auto"/>
            </w:tcBorders>
            <w:shd w:val="clear" w:color="auto" w:fill="auto"/>
          </w:tcPr>
          <w:p w14:paraId="33EF4C33"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440" w:type="dxa"/>
            <w:tcBorders>
              <w:top w:val="nil"/>
              <w:left w:val="nil"/>
              <w:bottom w:val="nil"/>
              <w:right w:val="single" w:sz="4" w:space="0" w:color="auto"/>
            </w:tcBorders>
            <w:shd w:val="clear" w:color="auto" w:fill="auto"/>
          </w:tcPr>
          <w:p w14:paraId="33EF4C34"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Item V(C): LSE Total Energy Forecast Bundled Customer (MWh)</w:t>
            </w:r>
            <w:r>
              <w:rPr>
                <w:rFonts w:ascii="Arial" w:eastAsia="Times New Roman" w:hAnsi="Arial" w:cs="Arial"/>
                <w:sz w:val="20"/>
                <w:szCs w:val="20"/>
              </w:rPr>
              <w:br/>
            </w:r>
            <w:r>
              <w:rPr>
                <w:rFonts w:ascii="Arial" w:eastAsia="Times New Roman" w:hAnsi="Arial" w:cs="Arial"/>
                <w:sz w:val="20"/>
                <w:szCs w:val="20"/>
              </w:rPr>
              <w:br/>
              <w:t>VI(B): Utility Bundled Net Open (Long or Short) Position for Energy</w:t>
            </w:r>
          </w:p>
        </w:tc>
        <w:tc>
          <w:tcPr>
            <w:tcW w:w="1572" w:type="dxa"/>
            <w:tcBorders>
              <w:top w:val="nil"/>
              <w:left w:val="nil"/>
              <w:bottom w:val="nil"/>
              <w:right w:val="single" w:sz="4" w:space="0" w:color="auto"/>
            </w:tcBorders>
            <w:shd w:val="clear" w:color="auto" w:fill="auto"/>
          </w:tcPr>
          <w:p w14:paraId="33EF4C35" w14:textId="77777777" w:rsidR="00375326" w:rsidRDefault="003852B1">
            <w:pPr>
              <w:spacing w:after="0" w:line="240" w:lineRule="auto"/>
              <w:jc w:val="center"/>
              <w:rPr>
                <w:rFonts w:ascii="Arial" w:eastAsia="Times New Roman" w:hAnsi="Arial" w:cs="Arial"/>
                <w:sz w:val="20"/>
                <w:szCs w:val="20"/>
              </w:rPr>
            </w:pPr>
            <w:r>
              <w:rPr>
                <w:rFonts w:ascii="Arial" w:eastAsia="Times New Roman" w:hAnsi="Arial" w:cs="Arial"/>
                <w:sz w:val="20"/>
                <w:szCs w:val="20"/>
              </w:rPr>
              <w:t>Yes</w:t>
            </w:r>
          </w:p>
        </w:tc>
        <w:tc>
          <w:tcPr>
            <w:tcW w:w="1316" w:type="dxa"/>
            <w:tcBorders>
              <w:top w:val="nil"/>
              <w:left w:val="nil"/>
              <w:bottom w:val="nil"/>
              <w:right w:val="single" w:sz="4" w:space="0" w:color="auto"/>
            </w:tcBorders>
            <w:shd w:val="clear" w:color="auto" w:fill="auto"/>
          </w:tcPr>
          <w:p w14:paraId="33EF4C36" w14:textId="77777777" w:rsidR="00375326" w:rsidRDefault="003852B1">
            <w:pPr>
              <w:jc w:val="center"/>
              <w:rPr>
                <w:rFonts w:ascii="Arial" w:eastAsia="Times New Roman" w:hAnsi="Arial" w:cs="Arial"/>
                <w:sz w:val="20"/>
                <w:szCs w:val="20"/>
              </w:rPr>
            </w:pPr>
            <w:r>
              <w:rPr>
                <w:rFonts w:ascii="Arial" w:eastAsia="Times New Roman" w:hAnsi="Arial" w:cs="Arial"/>
                <w:sz w:val="20"/>
                <w:szCs w:val="20"/>
              </w:rPr>
              <w:t>Yes</w:t>
            </w:r>
          </w:p>
        </w:tc>
        <w:tc>
          <w:tcPr>
            <w:tcW w:w="1676" w:type="dxa"/>
            <w:tcBorders>
              <w:top w:val="nil"/>
              <w:left w:val="nil"/>
              <w:bottom w:val="nil"/>
              <w:right w:val="single" w:sz="4" w:space="0" w:color="auto"/>
            </w:tcBorders>
            <w:shd w:val="clear" w:color="auto" w:fill="auto"/>
          </w:tcPr>
          <w:p w14:paraId="33EF4C37"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Yes</w:t>
            </w:r>
          </w:p>
        </w:tc>
        <w:tc>
          <w:tcPr>
            <w:tcW w:w="3883" w:type="dxa"/>
            <w:tcBorders>
              <w:top w:val="nil"/>
              <w:left w:val="nil"/>
              <w:bottom w:val="nil"/>
              <w:right w:val="single" w:sz="4" w:space="0" w:color="auto"/>
            </w:tcBorders>
            <w:shd w:val="clear" w:color="auto" w:fill="auto"/>
          </w:tcPr>
          <w:p w14:paraId="33EF4C38" w14:textId="77777777" w:rsidR="00375326" w:rsidRDefault="003852B1">
            <w:pPr>
              <w:rPr>
                <w:rFonts w:ascii="Arial" w:eastAsia="Times New Roman" w:hAnsi="Arial" w:cs="Arial"/>
                <w:sz w:val="20"/>
                <w:szCs w:val="20"/>
              </w:rPr>
            </w:pPr>
            <w:r>
              <w:rPr>
                <w:rFonts w:ascii="Arial" w:eastAsia="Times New Roman" w:hAnsi="Arial" w:cs="Arial"/>
                <w:sz w:val="20"/>
                <w:szCs w:val="20"/>
              </w:rPr>
              <w:t xml:space="preserve">This information shows PG&amp;E's net position for RPS-eligible energy in the periods within the front three years of the forecast.  </w:t>
            </w:r>
          </w:p>
          <w:p w14:paraId="33EF4C39" w14:textId="77777777" w:rsidR="00375326" w:rsidRDefault="003852B1">
            <w:pPr>
              <w:rPr>
                <w:rFonts w:ascii="Arial" w:eastAsia="Times New Roman" w:hAnsi="Arial" w:cs="Arial"/>
                <w:sz w:val="20"/>
                <w:szCs w:val="20"/>
              </w:rPr>
            </w:pPr>
            <w:r>
              <w:rPr>
                <w:rFonts w:ascii="Arial" w:eastAsia="Times New Roman" w:hAnsi="Arial" w:cs="Arial"/>
                <w:sz w:val="20"/>
                <w:szCs w:val="20"/>
              </w:rPr>
              <w:t>The redacted information in Rows 4, 5, 9, 16, 17 and 21 could also be manipulated in conjunction with publicly-available infor</w:t>
            </w:r>
            <w:r>
              <w:rPr>
                <w:rFonts w:ascii="Arial" w:eastAsia="Times New Roman" w:hAnsi="Arial" w:cs="Arial"/>
                <w:sz w:val="20"/>
                <w:szCs w:val="20"/>
              </w:rPr>
              <w:t>mation to determine PG&amp;E's internal and proprietary forecast of its bundled customer total energy requirements.</w:t>
            </w:r>
          </w:p>
        </w:tc>
        <w:tc>
          <w:tcPr>
            <w:tcW w:w="1273" w:type="dxa"/>
            <w:tcBorders>
              <w:top w:val="nil"/>
              <w:left w:val="nil"/>
              <w:bottom w:val="nil"/>
              <w:right w:val="single" w:sz="8" w:space="0" w:color="auto"/>
            </w:tcBorders>
            <w:shd w:val="clear" w:color="auto" w:fill="auto"/>
          </w:tcPr>
          <w:p w14:paraId="33EF4C3A" w14:textId="77777777" w:rsidR="00375326" w:rsidRDefault="003852B1">
            <w:pPr>
              <w:spacing w:after="0" w:line="240" w:lineRule="auto"/>
              <w:rPr>
                <w:rFonts w:ascii="Arial" w:eastAsia="Times New Roman" w:hAnsi="Arial" w:cs="Arial"/>
                <w:sz w:val="20"/>
                <w:szCs w:val="20"/>
              </w:rPr>
            </w:pPr>
            <w:r>
              <w:rPr>
                <w:rFonts w:ascii="Arial" w:eastAsia="Times New Roman" w:hAnsi="Arial" w:cs="Arial"/>
                <w:sz w:val="20"/>
                <w:szCs w:val="20"/>
              </w:rPr>
              <w:t>Front three years.</w:t>
            </w:r>
          </w:p>
        </w:tc>
      </w:tr>
    </w:tbl>
    <w:p w14:paraId="33EF4C3C" w14:textId="77777777" w:rsidR="00375326" w:rsidRDefault="00375326"/>
    <w:sectPr w:rsidR="00375326">
      <w:footerReference w:type="default" r:id="rId11"/>
      <w:pgSz w:w="15840" w:h="12240" w:orient="landscape" w:code="1"/>
      <w:pgMar w:top="720" w:right="288" w:bottom="720" w:left="2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F4C3F" w14:textId="77777777" w:rsidR="00375326" w:rsidRDefault="003852B1">
      <w:pPr>
        <w:spacing w:after="0" w:line="240" w:lineRule="auto"/>
      </w:pPr>
      <w:r>
        <w:separator/>
      </w:r>
    </w:p>
  </w:endnote>
  <w:endnote w:type="continuationSeparator" w:id="0">
    <w:p w14:paraId="33EF4C40" w14:textId="77777777" w:rsidR="00375326" w:rsidRDefault="00385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636232"/>
      <w:docPartObj>
        <w:docPartGallery w:val="Page Numbers (Bottom of Page)"/>
        <w:docPartUnique/>
      </w:docPartObj>
    </w:sdtPr>
    <w:sdtEndPr>
      <w:rPr>
        <w:noProof/>
      </w:rPr>
    </w:sdtEndPr>
    <w:sdtContent>
      <w:p w14:paraId="33EF4C41" w14:textId="77777777" w:rsidR="00375326" w:rsidRDefault="003852B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3EF4C42" w14:textId="77777777" w:rsidR="00375326" w:rsidRDefault="003753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F4C3D" w14:textId="77777777" w:rsidR="00375326" w:rsidRDefault="003852B1">
      <w:pPr>
        <w:spacing w:after="0" w:line="240" w:lineRule="auto"/>
      </w:pPr>
      <w:r>
        <w:separator/>
      </w:r>
    </w:p>
  </w:footnote>
  <w:footnote w:type="continuationSeparator" w:id="0">
    <w:p w14:paraId="33EF4C3E" w14:textId="77777777" w:rsidR="00375326" w:rsidRDefault="003852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326"/>
    <w:rsid w:val="00375326"/>
    <w:rsid w:val="00385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F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52381">
      <w:bodyDiv w:val="1"/>
      <w:marLeft w:val="0"/>
      <w:marRight w:val="0"/>
      <w:marTop w:val="0"/>
      <w:marBottom w:val="0"/>
      <w:divBdr>
        <w:top w:val="none" w:sz="0" w:space="0" w:color="auto"/>
        <w:left w:val="none" w:sz="0" w:space="0" w:color="auto"/>
        <w:bottom w:val="none" w:sz="0" w:space="0" w:color="auto"/>
        <w:right w:val="none" w:sz="0" w:space="0" w:color="auto"/>
      </w:divBdr>
    </w:div>
    <w:div w:id="324626046">
      <w:bodyDiv w:val="1"/>
      <w:marLeft w:val="0"/>
      <w:marRight w:val="0"/>
      <w:marTop w:val="0"/>
      <w:marBottom w:val="0"/>
      <w:divBdr>
        <w:top w:val="none" w:sz="0" w:space="0" w:color="auto"/>
        <w:left w:val="none" w:sz="0" w:space="0" w:color="auto"/>
        <w:bottom w:val="none" w:sz="0" w:space="0" w:color="auto"/>
        <w:right w:val="none" w:sz="0" w:space="0" w:color="auto"/>
      </w:divBdr>
    </w:div>
    <w:div w:id="520054434">
      <w:bodyDiv w:val="1"/>
      <w:marLeft w:val="0"/>
      <w:marRight w:val="0"/>
      <w:marTop w:val="0"/>
      <w:marBottom w:val="0"/>
      <w:divBdr>
        <w:top w:val="none" w:sz="0" w:space="0" w:color="auto"/>
        <w:left w:val="none" w:sz="0" w:space="0" w:color="auto"/>
        <w:bottom w:val="none" w:sz="0" w:space="0" w:color="auto"/>
        <w:right w:val="none" w:sz="0" w:space="0" w:color="auto"/>
      </w:divBdr>
    </w:div>
    <w:div w:id="1077090786">
      <w:bodyDiv w:val="1"/>
      <w:marLeft w:val="0"/>
      <w:marRight w:val="0"/>
      <w:marTop w:val="0"/>
      <w:marBottom w:val="0"/>
      <w:divBdr>
        <w:top w:val="none" w:sz="0" w:space="0" w:color="auto"/>
        <w:left w:val="none" w:sz="0" w:space="0" w:color="auto"/>
        <w:bottom w:val="none" w:sz="0" w:space="0" w:color="auto"/>
        <w:right w:val="none" w:sz="0" w:space="0" w:color="auto"/>
      </w:divBdr>
    </w:div>
    <w:div w:id="1470394732">
      <w:bodyDiv w:val="1"/>
      <w:marLeft w:val="0"/>
      <w:marRight w:val="0"/>
      <w:marTop w:val="0"/>
      <w:marBottom w:val="0"/>
      <w:divBdr>
        <w:top w:val="none" w:sz="0" w:space="0" w:color="auto"/>
        <w:left w:val="none" w:sz="0" w:space="0" w:color="auto"/>
        <w:bottom w:val="none" w:sz="0" w:space="0" w:color="auto"/>
        <w:right w:val="none" w:sz="0" w:space="0" w:color="auto"/>
      </w:divBdr>
    </w:div>
    <w:div w:id="1484813639">
      <w:bodyDiv w:val="1"/>
      <w:marLeft w:val="0"/>
      <w:marRight w:val="0"/>
      <w:marTop w:val="0"/>
      <w:marBottom w:val="0"/>
      <w:divBdr>
        <w:top w:val="none" w:sz="0" w:space="0" w:color="auto"/>
        <w:left w:val="none" w:sz="0" w:space="0" w:color="auto"/>
        <w:bottom w:val="none" w:sz="0" w:space="0" w:color="auto"/>
        <w:right w:val="none" w:sz="0" w:space="0" w:color="auto"/>
      </w:divBdr>
    </w:div>
    <w:div w:id="2094815323">
      <w:bodyDiv w:val="1"/>
      <w:marLeft w:val="0"/>
      <w:marRight w:val="0"/>
      <w:marTop w:val="0"/>
      <w:marBottom w:val="0"/>
      <w:divBdr>
        <w:top w:val="none" w:sz="0" w:space="0" w:color="auto"/>
        <w:left w:val="none" w:sz="0" w:space="0" w:color="auto"/>
        <w:bottom w:val="none" w:sz="0" w:space="0" w:color="auto"/>
        <w:right w:val="none" w:sz="0" w:space="0" w:color="auto"/>
      </w:divBdr>
    </w:div>
    <w:div w:id="2102215197">
      <w:bodyDiv w:val="1"/>
      <w:marLeft w:val="0"/>
      <w:marRight w:val="0"/>
      <w:marTop w:val="0"/>
      <w:marBottom w:val="0"/>
      <w:divBdr>
        <w:top w:val="none" w:sz="0" w:space="0" w:color="auto"/>
        <w:left w:val="none" w:sz="0" w:space="0" w:color="auto"/>
        <w:bottom w:val="none" w:sz="0" w:space="0" w:color="auto"/>
        <w:right w:val="none" w:sz="0" w:space="0" w:color="auto"/>
      </w:divBdr>
    </w:div>
    <w:div w:id="213825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A1FE68E76ECC4AA75C8BAD48C190BE" ma:contentTypeVersion="0" ma:contentTypeDescription="Create a new document." ma:contentTypeScope="" ma:versionID="c7a100ec28b333bd34393d1ce65740e3">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2E1DE-04BF-4D9E-84D4-1D405DD1F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6F568C9-FEBE-416E-89D7-EF5AC4125B4D}">
  <ds:schemaRefs>
    <ds:schemaRef ds:uri="http://schemas.microsoft.com/sharepoint/v3/contenttype/forms"/>
  </ds:schemaRefs>
</ds:datastoreItem>
</file>

<file path=customXml/itemProps3.xml><?xml version="1.0" encoding="utf-8"?>
<ds:datastoreItem xmlns:ds="http://schemas.openxmlformats.org/officeDocument/2006/customXml" ds:itemID="{1645D802-5583-46A8-BD4F-EA17B57238F4}">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0A8CFF1-3DAD-4217-9995-29B8ADB8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6</Pages>
  <Words>1308</Words>
  <Characters>7460</Characters>
  <Application>Microsoft Office Word</Application>
  <DocSecurity>0</DocSecurity>
  <PresentationFormat/>
  <Lines>62</Lines>
  <Paragraphs>17</Paragraphs>
  <ScaleCrop>false</ScaleCrop>
  <HeadingPairs>
    <vt:vector size="2" baseType="variant">
      <vt:variant>
        <vt:lpstr>Title</vt:lpstr>
      </vt:variant>
      <vt:variant>
        <vt:i4>1</vt:i4>
      </vt:variant>
    </vt:vector>
  </HeadingPairs>
  <TitlesOfParts>
    <vt:vector size="1" baseType="lpstr">
      <vt:lpstr/>
    </vt:vector>
  </TitlesOfParts>
  <Company>Pacific Gas and Electric</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Rohde, Lauren</dc:creator>
  <cp:lastModifiedBy>Rohde, Lauren</cp:lastModifiedBy>
  <cp:revision>41</cp:revision>
  <cp:lastPrinted>2012-12-21T17:28:00Z</cp:lastPrinted>
  <dcterms:created xsi:type="dcterms:W3CDTF">2012-12-01T00:08:00Z</dcterms:created>
  <dcterms:modified xsi:type="dcterms:W3CDTF">2013-07-31T16:06:00Z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0x0101006CA1FE68E76ECC4AA75C8BAD48C190BE</vt:lpwstr>
  </property>
</Properties>
</file>